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766F97" w:rsidRPr="00766F97" w:rsidTr="00766F97">
        <w:tc>
          <w:tcPr>
            <w:tcW w:w="1213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766F97" w:rsidRPr="00766F97" w:rsidTr="00766F97">
        <w:tc>
          <w:tcPr>
            <w:tcW w:w="1213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766F97" w:rsidRPr="00766F97" w:rsidTr="00766F97">
        <w:tc>
          <w:tcPr>
            <w:tcW w:w="1213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lang w:val="uk-UA"/>
              </w:rPr>
              <w:t>ПОСТАНОВА</w:t>
            </w:r>
          </w:p>
        </w:tc>
      </w:tr>
      <w:tr w:rsidR="00766F97" w:rsidRPr="00766F97" w:rsidTr="00766F97">
        <w:tc>
          <w:tcPr>
            <w:tcW w:w="1213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ind w:left="450" w:right="450"/>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lang w:val="uk-UA"/>
              </w:rPr>
              <w:t>06.04.2017  № 491</w:t>
            </w:r>
          </w:p>
        </w:tc>
      </w:tr>
    </w:tbl>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0" w:name="n3"/>
      <w:bookmarkEnd w:id="0"/>
      <w:r w:rsidRPr="00766F97">
        <w:rPr>
          <w:rFonts w:ascii="Times New Roman" w:eastAsia="Times New Roman" w:hAnsi="Times New Roman" w:cs="Times New Roman"/>
          <w:b/>
          <w:bCs/>
          <w:sz w:val="24"/>
          <w:szCs w:val="24"/>
          <w:lang w:val="uk-UA"/>
        </w:rPr>
        <w:t>Про затвердження Порядку розрахунку та встановлення ставки внесків на регулювання</w:t>
      </w:r>
    </w:p>
    <w:p w:rsidR="00766F97" w:rsidRPr="00766F97" w:rsidRDefault="00766F97" w:rsidP="00766F97">
      <w:pPr>
        <w:spacing w:after="0" w:line="240" w:lineRule="auto"/>
        <w:ind w:left="450" w:right="450"/>
        <w:rPr>
          <w:rFonts w:ascii="Times New Roman" w:eastAsia="Times New Roman" w:hAnsi="Times New Roman" w:cs="Times New Roman"/>
          <w:sz w:val="24"/>
          <w:szCs w:val="24"/>
          <w:shd w:val="clear" w:color="auto" w:fill="FFFFFF"/>
          <w:lang w:val="uk-UA"/>
        </w:rPr>
      </w:pPr>
      <w:bookmarkStart w:id="1" w:name="n84"/>
      <w:bookmarkEnd w:id="1"/>
      <w:r w:rsidRPr="00766F97">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 що здійснює</w:t>
      </w:r>
      <w:r w:rsidRPr="00766F97">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766F97">
        <w:rPr>
          <w:rFonts w:ascii="Times New Roman" w:eastAsia="Times New Roman" w:hAnsi="Times New Roman" w:cs="Times New Roman"/>
          <w:sz w:val="24"/>
          <w:szCs w:val="24"/>
          <w:shd w:val="clear" w:color="auto" w:fill="FFFFFF"/>
          <w:lang w:val="uk-UA"/>
        </w:rPr>
        <w:br/>
      </w:r>
      <w:hyperlink r:id="rId5" w:anchor="n2" w:tgtFrame="_blank" w:history="1">
        <w:r w:rsidRPr="00766F97">
          <w:rPr>
            <w:rFonts w:ascii="Times New Roman" w:eastAsia="Times New Roman" w:hAnsi="Times New Roman" w:cs="Times New Roman"/>
            <w:sz w:val="24"/>
            <w:szCs w:val="24"/>
            <w:lang w:val="uk-UA"/>
          </w:rPr>
          <w:t>№ 750 від 01.04.2020</w:t>
        </w:r>
      </w:hyperlink>
      <w:r w:rsidRPr="00766F97">
        <w:rPr>
          <w:rFonts w:ascii="Times New Roman" w:eastAsia="Times New Roman" w:hAnsi="Times New Roman" w:cs="Times New Roman"/>
          <w:sz w:val="24"/>
          <w:szCs w:val="24"/>
          <w:shd w:val="clear" w:color="auto" w:fill="FFFFFF"/>
          <w:lang w:val="uk-UA"/>
        </w:rPr>
        <w:br/>
      </w:r>
      <w:hyperlink r:id="rId6" w:anchor="n5" w:tgtFrame="_blank" w:history="1">
        <w:r w:rsidRPr="00766F97">
          <w:rPr>
            <w:rFonts w:ascii="Times New Roman" w:eastAsia="Times New Roman" w:hAnsi="Times New Roman" w:cs="Times New Roman"/>
            <w:sz w:val="24"/>
            <w:szCs w:val="24"/>
            <w:lang w:val="uk-UA"/>
          </w:rPr>
          <w:t>№ 685 від 05.07.2022</w:t>
        </w:r>
      </w:hyperlink>
      <w:r w:rsidRPr="00766F97">
        <w:rPr>
          <w:rFonts w:ascii="Times New Roman" w:eastAsia="Times New Roman" w:hAnsi="Times New Roman" w:cs="Times New Roman"/>
          <w:sz w:val="24"/>
          <w:szCs w:val="24"/>
          <w:shd w:val="clear" w:color="auto" w:fill="FFFFFF"/>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 w:name="n4"/>
      <w:bookmarkEnd w:id="2"/>
      <w:r w:rsidRPr="00766F97">
        <w:rPr>
          <w:rFonts w:ascii="Times New Roman" w:eastAsia="Times New Roman" w:hAnsi="Times New Roman" w:cs="Times New Roman"/>
          <w:sz w:val="24"/>
          <w:szCs w:val="24"/>
          <w:lang w:val="uk-UA"/>
        </w:rPr>
        <w:t>Відповідно до законів України </w:t>
      </w:r>
      <w:hyperlink r:id="rId7" w:tgtFrame="_blank" w:history="1">
        <w:r w:rsidRPr="00766F97">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766F97">
        <w:rPr>
          <w:rFonts w:ascii="Times New Roman" w:eastAsia="Times New Roman" w:hAnsi="Times New Roman" w:cs="Times New Roman"/>
          <w:sz w:val="24"/>
          <w:szCs w:val="24"/>
          <w:lang w:val="uk-UA"/>
        </w:rPr>
        <w:t> </w:t>
      </w:r>
      <w:hyperlink r:id="rId8" w:tgtFrame="_blank" w:history="1">
        <w:r w:rsidRPr="00766F97">
          <w:rPr>
            <w:rFonts w:ascii="Times New Roman" w:eastAsia="Times New Roman" w:hAnsi="Times New Roman" w:cs="Times New Roman"/>
            <w:sz w:val="24"/>
            <w:szCs w:val="24"/>
            <w:lang w:val="uk-UA"/>
          </w:rPr>
          <w:t>«Про джерела фінансування органів державної влади»</w:t>
        </w:r>
      </w:hyperlink>
      <w:r w:rsidRPr="00766F97">
        <w:rPr>
          <w:rFonts w:ascii="Times New Roman" w:eastAsia="Times New Roman" w:hAnsi="Times New Roman" w:cs="Times New Roman"/>
          <w:sz w:val="24"/>
          <w:szCs w:val="24"/>
          <w:lang w:val="uk-UA"/>
        </w:rPr>
        <w:t> Національна комісія, що здійснює державне регулювання у сферах енергетики та комунальних послуг, </w:t>
      </w:r>
      <w:r w:rsidRPr="00766F97">
        <w:rPr>
          <w:rFonts w:ascii="Times New Roman" w:eastAsia="Times New Roman" w:hAnsi="Times New Roman" w:cs="Times New Roman"/>
          <w:b/>
          <w:bCs/>
          <w:spacing w:val="30"/>
          <w:sz w:val="24"/>
          <w:szCs w:val="24"/>
          <w:lang w:val="uk-UA"/>
        </w:rPr>
        <w:t>ПОСТАНОВЛЯЄ:</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 w:name="n5"/>
      <w:bookmarkEnd w:id="3"/>
      <w:r w:rsidRPr="00766F97">
        <w:rPr>
          <w:rFonts w:ascii="Times New Roman" w:eastAsia="Times New Roman" w:hAnsi="Times New Roman" w:cs="Times New Roman"/>
          <w:sz w:val="24"/>
          <w:szCs w:val="24"/>
          <w:lang w:val="uk-UA"/>
        </w:rPr>
        <w:t>1. Затвердити </w:t>
      </w:r>
      <w:hyperlink r:id="rId9" w:anchor="n9" w:history="1">
        <w:r w:rsidRPr="00766F97">
          <w:rPr>
            <w:rFonts w:ascii="Times New Roman" w:eastAsia="Times New Roman" w:hAnsi="Times New Roman" w:cs="Times New Roman"/>
            <w:sz w:val="24"/>
            <w:szCs w:val="24"/>
            <w:lang w:val="uk-UA"/>
          </w:rPr>
          <w:t>Порядок розрахунку та встановлення ставки внесків на регулювання</w:t>
        </w:r>
      </w:hyperlink>
      <w:r w:rsidRPr="00766F97">
        <w:rPr>
          <w:rFonts w:ascii="Times New Roman" w:eastAsia="Times New Roman" w:hAnsi="Times New Roman" w:cs="Times New Roman"/>
          <w:sz w:val="24"/>
          <w:szCs w:val="24"/>
          <w:lang w:val="uk-UA"/>
        </w:rPr>
        <w:t>, що додається.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 w:name="n6"/>
      <w:bookmarkEnd w:id="4"/>
      <w:r w:rsidRPr="00766F97">
        <w:rPr>
          <w:rFonts w:ascii="Times New Roman" w:eastAsia="Times New Roman" w:hAnsi="Times New Roman" w:cs="Times New Roman"/>
          <w:sz w:val="24"/>
          <w:szCs w:val="24"/>
          <w:lang w:val="uk-UA"/>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4067"/>
        <w:gridCol w:w="5616"/>
      </w:tblGrid>
      <w:tr w:rsidR="00766F97" w:rsidRPr="00766F97" w:rsidTr="00766F97">
        <w:tc>
          <w:tcPr>
            <w:tcW w:w="21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bookmarkStart w:id="5" w:name="n7"/>
            <w:bookmarkEnd w:id="5"/>
            <w:r w:rsidRPr="00766F97">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right"/>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lang w:val="uk-UA"/>
              </w:rPr>
              <w:t>Д. Вовк</w:t>
            </w:r>
          </w:p>
        </w:tc>
      </w:tr>
    </w:tbl>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6" w:name="n76"/>
      <w:bookmarkEnd w:id="6"/>
      <w:r w:rsidRPr="00766F97">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766F97" w:rsidRPr="00766F97" w:rsidTr="00766F97">
        <w:tc>
          <w:tcPr>
            <w:tcW w:w="30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7" w:name="n8"/>
            <w:bookmarkEnd w:id="7"/>
            <w:r w:rsidRPr="00766F97">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lang w:val="uk-UA"/>
              </w:rPr>
              <w:t>ЗАТВЕРДЖЕНО</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Постанова НКРЕКП</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06.04.2017  № 491</w:t>
            </w:r>
          </w:p>
        </w:tc>
      </w:tr>
    </w:tbl>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 w:name="n9"/>
      <w:bookmarkEnd w:id="8"/>
      <w:r w:rsidRPr="00766F97">
        <w:rPr>
          <w:rFonts w:ascii="Times New Roman" w:eastAsia="Times New Roman" w:hAnsi="Times New Roman" w:cs="Times New Roman"/>
          <w:b/>
          <w:bCs/>
          <w:sz w:val="24"/>
          <w:szCs w:val="24"/>
          <w:lang w:val="uk-UA"/>
        </w:rPr>
        <w:t>ПОРЯДОК</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розрахунку та встановлення ставки внесків на регулювання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10"/>
      <w:bookmarkEnd w:id="9"/>
      <w:r w:rsidRPr="00766F97">
        <w:rPr>
          <w:rFonts w:ascii="Times New Roman" w:eastAsia="Times New Roman" w:hAnsi="Times New Roman" w:cs="Times New Roman"/>
          <w:sz w:val="24"/>
          <w:szCs w:val="24"/>
          <w:lang w:val="uk-UA"/>
        </w:rPr>
        <w:t>1. Цей Порядок визначає методику визначення ставки внесків на регулювання та механізм сплати сум внесків на регулювання, які сплачуються суб’єктами господарювання, державне регулювання яких здійснюється Національною комісією, що здійснює державне регулювання у сферах енергетики та комунальних послуг (далі - НКРЕКП).</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 w:name="n11"/>
      <w:bookmarkEnd w:id="10"/>
      <w:r w:rsidRPr="00766F97">
        <w:rPr>
          <w:rFonts w:ascii="Times New Roman" w:eastAsia="Times New Roman" w:hAnsi="Times New Roman" w:cs="Times New Roman"/>
          <w:sz w:val="24"/>
          <w:szCs w:val="24"/>
          <w:lang w:val="uk-UA"/>
        </w:rPr>
        <w:t>У цьому Порядку терміни вживаються у таких значеннях:</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 w:name="n12"/>
      <w:bookmarkEnd w:id="11"/>
      <w:r w:rsidRPr="00766F97">
        <w:rPr>
          <w:rFonts w:ascii="Times New Roman" w:eastAsia="Times New Roman" w:hAnsi="Times New Roman" w:cs="Times New Roman"/>
          <w:sz w:val="24"/>
          <w:szCs w:val="24"/>
          <w:lang w:val="uk-UA"/>
        </w:rPr>
        <w:t>попередній квартал - квартал, що передує звітному (період, за який платники внеску подають звітні дані про чистий дохід);</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 w:name="n13"/>
      <w:bookmarkEnd w:id="12"/>
      <w:r w:rsidRPr="00766F97">
        <w:rPr>
          <w:rFonts w:ascii="Times New Roman" w:eastAsia="Times New Roman" w:hAnsi="Times New Roman" w:cs="Times New Roman"/>
          <w:sz w:val="24"/>
          <w:szCs w:val="24"/>
          <w:lang w:val="uk-UA"/>
        </w:rPr>
        <w:t>звітний квартал - базовий період для нарахування суми внеску на регулювання (квартал, в якому здійснюється розрахунок ставки внеску);</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14"/>
      <w:bookmarkEnd w:id="13"/>
      <w:r w:rsidRPr="00766F97">
        <w:rPr>
          <w:rFonts w:ascii="Times New Roman" w:eastAsia="Times New Roman" w:hAnsi="Times New Roman" w:cs="Times New Roman"/>
          <w:sz w:val="24"/>
          <w:szCs w:val="24"/>
          <w:lang w:val="uk-UA"/>
        </w:rPr>
        <w:t>поточний квартал - квартал, наступний за звітним (період, в якому здійснюється сплата внеску).</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 w:name="n15"/>
      <w:bookmarkEnd w:id="14"/>
      <w:r w:rsidRPr="00766F97">
        <w:rPr>
          <w:rFonts w:ascii="Times New Roman" w:eastAsia="Times New Roman" w:hAnsi="Times New Roman" w:cs="Times New Roman"/>
          <w:sz w:val="24"/>
          <w:szCs w:val="24"/>
          <w:lang w:val="uk-UA"/>
        </w:rPr>
        <w:t>2. Внески на регулювання сплачуються суб'єктами господарювання, які зазначені в Реєстрі суб’єктів господарювання, що провадять діяльність у сферах енергетики та комунальних послуг, діяльність яких регулюється Регулятором незалежно від форм власності (далі - платники внеску), зокрема:</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 w:name="n16"/>
      <w:bookmarkEnd w:id="15"/>
      <w:r w:rsidRPr="00766F97">
        <w:rPr>
          <w:rFonts w:ascii="Times New Roman" w:eastAsia="Times New Roman" w:hAnsi="Times New Roman" w:cs="Times New Roman"/>
          <w:sz w:val="24"/>
          <w:szCs w:val="24"/>
          <w:lang w:val="uk-UA"/>
        </w:rPr>
        <w:t>з виробництва, передачі, розподілу, постачання електричної енергії, зберігання енергії;</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 w:name="n99"/>
      <w:bookmarkEnd w:id="16"/>
      <w:r w:rsidRPr="00766F97">
        <w:rPr>
          <w:rFonts w:ascii="Times New Roman" w:eastAsia="Times New Roman" w:hAnsi="Times New Roman" w:cs="Times New Roman"/>
          <w:i/>
          <w:iCs/>
          <w:sz w:val="24"/>
          <w:szCs w:val="24"/>
          <w:shd w:val="clear" w:color="auto" w:fill="FFFFFF"/>
          <w:lang w:val="uk-UA"/>
        </w:rPr>
        <w:t>{Абзац другий пункту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 w:anchor="n6" w:tgtFrame="_blank" w:history="1">
        <w:r w:rsidRPr="00766F97">
          <w:rPr>
            <w:rFonts w:ascii="Times New Roman" w:eastAsia="Times New Roman" w:hAnsi="Times New Roman" w:cs="Times New Roman"/>
            <w:i/>
            <w:iCs/>
            <w:sz w:val="24"/>
            <w:szCs w:val="24"/>
            <w:lang w:val="uk-UA"/>
          </w:rPr>
          <w:t>№ 685 від 05.07.2022}</w:t>
        </w:r>
      </w:hyperlink>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 w:name="n87"/>
      <w:bookmarkEnd w:id="17"/>
      <w:r w:rsidRPr="00766F97">
        <w:rPr>
          <w:rFonts w:ascii="Times New Roman" w:eastAsia="Times New Roman" w:hAnsi="Times New Roman" w:cs="Times New Roman"/>
          <w:sz w:val="24"/>
          <w:szCs w:val="24"/>
          <w:lang w:val="uk-UA"/>
        </w:rPr>
        <w:lastRenderedPageBreak/>
        <w:t xml:space="preserve">з організації купівлі-продажу електричної енергії на ринку «на добу наперед» та внутрішньодобовому ринку, із забезпечення купівлі електричної енергії за «зеленим» тарифом, </w:t>
      </w:r>
      <w:proofErr w:type="spellStart"/>
      <w:r w:rsidRPr="00766F97">
        <w:rPr>
          <w:rFonts w:ascii="Times New Roman" w:eastAsia="Times New Roman" w:hAnsi="Times New Roman" w:cs="Times New Roman"/>
          <w:sz w:val="24"/>
          <w:szCs w:val="24"/>
          <w:lang w:val="uk-UA"/>
        </w:rPr>
        <w:t>трейдерської</w:t>
      </w:r>
      <w:proofErr w:type="spellEnd"/>
      <w:r w:rsidRPr="00766F97">
        <w:rPr>
          <w:rFonts w:ascii="Times New Roman" w:eastAsia="Times New Roman" w:hAnsi="Times New Roman" w:cs="Times New Roman"/>
          <w:sz w:val="24"/>
          <w:szCs w:val="24"/>
          <w:lang w:val="uk-UA"/>
        </w:rPr>
        <w:t xml:space="preserve"> діяльності;</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 w:name="n85"/>
      <w:bookmarkEnd w:id="18"/>
      <w:r w:rsidRPr="00766F97">
        <w:rPr>
          <w:rFonts w:ascii="Times New Roman" w:eastAsia="Times New Roman" w:hAnsi="Times New Roman" w:cs="Times New Roman"/>
          <w:i/>
          <w:iCs/>
          <w:sz w:val="24"/>
          <w:szCs w:val="24"/>
          <w:shd w:val="clear" w:color="auto" w:fill="FFFFFF"/>
          <w:lang w:val="uk-UA"/>
        </w:rPr>
        <w:t>{Пункт 2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1" w:anchor="n6" w:tgtFrame="_blank" w:history="1">
        <w:r w:rsidRPr="00766F97">
          <w:rPr>
            <w:rFonts w:ascii="Times New Roman" w:eastAsia="Times New Roman" w:hAnsi="Times New Roman" w:cs="Times New Roman"/>
            <w:i/>
            <w:iCs/>
            <w:sz w:val="24"/>
            <w:szCs w:val="24"/>
            <w:lang w:val="uk-UA"/>
          </w:rPr>
          <w:t>№ 750 від 01.04.2020</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 w:name="n17"/>
      <w:bookmarkEnd w:id="19"/>
      <w:r w:rsidRPr="00766F97">
        <w:rPr>
          <w:rFonts w:ascii="Times New Roman" w:eastAsia="Times New Roman" w:hAnsi="Times New Roman" w:cs="Times New Roman"/>
          <w:sz w:val="24"/>
          <w:szCs w:val="24"/>
          <w:lang w:val="uk-UA"/>
        </w:rPr>
        <w:t>з транспортування, розподілу, зберігання (закачування, відбору), надання послуг установки LNG, постачання природного газу;</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 w:name="n18"/>
      <w:bookmarkEnd w:id="20"/>
      <w:r w:rsidRPr="00766F97">
        <w:rPr>
          <w:rFonts w:ascii="Times New Roman" w:eastAsia="Times New Roman" w:hAnsi="Times New Roman" w:cs="Times New Roman"/>
          <w:sz w:val="24"/>
          <w:szCs w:val="24"/>
          <w:lang w:val="uk-UA"/>
        </w:rPr>
        <w:t>з транспортування нафти, нафтопродуктів та інших речовин трубопровідним транспортом;</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 w:name="n19"/>
      <w:bookmarkEnd w:id="21"/>
      <w:r w:rsidRPr="00766F97">
        <w:rPr>
          <w:rFonts w:ascii="Times New Roman" w:eastAsia="Times New Roman" w:hAnsi="Times New Roman" w:cs="Times New Roman"/>
          <w:sz w:val="24"/>
          <w:szCs w:val="24"/>
          <w:lang w:val="uk-UA"/>
        </w:rPr>
        <w:t xml:space="preserve">з виробництва теплової енергії на </w:t>
      </w:r>
      <w:proofErr w:type="spellStart"/>
      <w:r w:rsidRPr="00766F97">
        <w:rPr>
          <w:rFonts w:ascii="Times New Roman" w:eastAsia="Times New Roman" w:hAnsi="Times New Roman" w:cs="Times New Roman"/>
          <w:sz w:val="24"/>
          <w:szCs w:val="24"/>
          <w:lang w:val="uk-UA"/>
        </w:rPr>
        <w:t>теплогенеруючих</w:t>
      </w:r>
      <w:proofErr w:type="spellEnd"/>
      <w:r w:rsidRPr="00766F97">
        <w:rPr>
          <w:rFonts w:ascii="Times New Roman" w:eastAsia="Times New Roman" w:hAnsi="Times New Roman" w:cs="Times New Roman"/>
          <w:sz w:val="24"/>
          <w:szCs w:val="24"/>
          <w:lang w:val="uk-UA"/>
        </w:rPr>
        <w:t xml:space="preserve"> установках, включаючи установки для комбінованого виробництва теплової та електричної енергії, транспортування її магістральними та місцевими (розподільчими) тепловими мережами, постачання теплової енергії в обсягах понад рівень, що встановлюється умовами та правилами провадження господарської діяльності (ліцензійними умовами);</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 w:name="n20"/>
      <w:bookmarkEnd w:id="22"/>
      <w:r w:rsidRPr="00766F97">
        <w:rPr>
          <w:rFonts w:ascii="Times New Roman" w:eastAsia="Times New Roman" w:hAnsi="Times New Roman" w:cs="Times New Roman"/>
          <w:sz w:val="24"/>
          <w:szCs w:val="24"/>
          <w:lang w:val="uk-UA"/>
        </w:rPr>
        <w:t>з централізованого водопостачання та водовідведення в обсягах понад рівень, що встановлюється умовами та правилами провадження господарської діяльності (ліцензійними умовами).</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 w:name="n21"/>
      <w:bookmarkEnd w:id="23"/>
      <w:r w:rsidRPr="00766F97">
        <w:rPr>
          <w:rFonts w:ascii="Times New Roman" w:eastAsia="Times New Roman" w:hAnsi="Times New Roman" w:cs="Times New Roman"/>
          <w:sz w:val="24"/>
          <w:szCs w:val="24"/>
          <w:lang w:val="uk-UA"/>
        </w:rPr>
        <w:t>3. Планова ставка внеску на регулювання визначається НКРЕКП щорічно до 01 липня поточного року (у відсотках, не більше ніж три знаки після коми) шляхом ділення планового (прогнозованого) обсягу потреби у фінансуванні на наступний рік на чистий дохід платників внеску від провадження діяльності, що регулюється НКРЕКП, за попередній рік за формулою</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 w:name="n101"/>
      <w:bookmarkEnd w:id="24"/>
      <w:r w:rsidRPr="00766F97">
        <w:rPr>
          <w:rFonts w:ascii="Times New Roman" w:eastAsia="Times New Roman" w:hAnsi="Times New Roman" w:cs="Times New Roman"/>
          <w:i/>
          <w:iCs/>
          <w:sz w:val="24"/>
          <w:szCs w:val="24"/>
          <w:shd w:val="clear" w:color="auto" w:fill="FFFFFF"/>
          <w:lang w:val="uk-UA"/>
        </w:rPr>
        <w:t>{Абзац перший пункту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 w:anchor="n7" w:tgtFrame="_blank" w:history="1">
        <w:r w:rsidRPr="00766F97">
          <w:rPr>
            <w:rFonts w:ascii="Times New Roman" w:eastAsia="Times New Roman" w:hAnsi="Times New Roman" w:cs="Times New Roman"/>
            <w:i/>
            <w:iCs/>
            <w:sz w:val="24"/>
            <w:szCs w:val="24"/>
            <w:lang w:val="uk-UA"/>
          </w:rPr>
          <w:t>№ 685 від 05.07.2022}</w:t>
        </w:r>
      </w:hyperlink>
    </w:p>
    <w:p w:rsidR="00766F97" w:rsidRPr="00766F97" w:rsidRDefault="00766F97" w:rsidP="00766F97">
      <w:pPr>
        <w:shd w:val="clear" w:color="auto" w:fill="FFFFFF"/>
        <w:spacing w:after="0" w:line="240" w:lineRule="auto"/>
        <w:jc w:val="center"/>
        <w:rPr>
          <w:rFonts w:ascii="Times New Roman" w:eastAsia="Times New Roman" w:hAnsi="Times New Roman" w:cs="Times New Roman"/>
          <w:sz w:val="24"/>
          <w:szCs w:val="24"/>
          <w:lang w:val="uk-UA"/>
        </w:rPr>
      </w:pPr>
      <w:bookmarkStart w:id="25" w:name="n22"/>
      <w:bookmarkEnd w:id="25"/>
      <w:r w:rsidRPr="00766F97">
        <w:rPr>
          <w:rFonts w:ascii="Times New Roman" w:eastAsia="Times New Roman" w:hAnsi="Times New Roman" w:cs="Times New Roman"/>
          <w:sz w:val="24"/>
          <w:szCs w:val="24"/>
          <w:lang w:val="uk-UA"/>
        </w:rPr>
        <w:t>V = P/D*100 %, (1)</w:t>
      </w:r>
    </w:p>
    <w:tbl>
      <w:tblPr>
        <w:tblW w:w="5000" w:type="pct"/>
        <w:tblCellMar>
          <w:left w:w="0" w:type="dxa"/>
          <w:right w:w="0" w:type="dxa"/>
        </w:tblCellMar>
        <w:tblLook w:val="04A0" w:firstRow="1" w:lastRow="0" w:firstColumn="1" w:lastColumn="0" w:noHBand="0" w:noVBand="1"/>
      </w:tblPr>
      <w:tblGrid>
        <w:gridCol w:w="430"/>
        <w:gridCol w:w="722"/>
        <w:gridCol w:w="88"/>
        <w:gridCol w:w="8443"/>
      </w:tblGrid>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26" w:name="n23"/>
            <w:bookmarkEnd w:id="26"/>
            <w:r w:rsidRPr="00766F97">
              <w:rPr>
                <w:rFonts w:ascii="Times New Roman" w:eastAsia="Times New Roman" w:hAnsi="Times New Roman" w:cs="Times New Roman"/>
                <w:sz w:val="24"/>
                <w:szCs w:val="24"/>
                <w:lang w:val="uk-UA"/>
              </w:rPr>
              <w:t>де</w:t>
            </w:r>
          </w:p>
        </w:tc>
        <w:tc>
          <w:tcPr>
            <w:tcW w:w="9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V</w:t>
            </w:r>
          </w:p>
        </w:tc>
        <w:tc>
          <w:tcPr>
            <w:tcW w:w="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планова ставка внеску на регулювання;</w:t>
            </w:r>
          </w:p>
        </w:tc>
      </w:tr>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9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Р</w:t>
            </w:r>
          </w:p>
        </w:tc>
        <w:tc>
          <w:tcPr>
            <w:tcW w:w="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плановий обсяг потреб у фінансуванні НКРЕКП на наступний бюджетний рік відповідно до проекту кошторису НКРЕКП;</w:t>
            </w:r>
          </w:p>
        </w:tc>
      </w:tr>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9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D</w:t>
            </w:r>
          </w:p>
        </w:tc>
        <w:tc>
          <w:tcPr>
            <w:tcW w:w="9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сума чистого доходу платників внеску на регулювання від провадження діяльності, що регулюється НКРЕКП, за попередній рік.</w:t>
            </w:r>
          </w:p>
        </w:tc>
      </w:tr>
    </w:tbl>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 w:name="n24"/>
      <w:bookmarkEnd w:id="27"/>
      <w:r w:rsidRPr="00766F97">
        <w:rPr>
          <w:rFonts w:ascii="Times New Roman" w:eastAsia="Times New Roman" w:hAnsi="Times New Roman" w:cs="Times New Roman"/>
          <w:sz w:val="24"/>
          <w:szCs w:val="24"/>
          <w:lang w:val="uk-UA"/>
        </w:rPr>
        <w:t>Визначена НКРЕКП річна (планова) ставка внеску на регулювання оформляється постановою та не може перевищувати 0,15 відсотка чистого доходу платника внеску на регулювання від провадження діяльності, що регулюється НКРЕКП.</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 w:name="n86"/>
      <w:bookmarkEnd w:id="28"/>
      <w:r w:rsidRPr="00766F97">
        <w:rPr>
          <w:rFonts w:ascii="Times New Roman" w:eastAsia="Times New Roman" w:hAnsi="Times New Roman" w:cs="Times New Roman"/>
          <w:i/>
          <w:iCs/>
          <w:sz w:val="24"/>
          <w:szCs w:val="24"/>
          <w:shd w:val="clear" w:color="auto" w:fill="FFFFFF"/>
          <w:lang w:val="uk-UA"/>
        </w:rPr>
        <w:t>{Абзац шостий пункту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 w:anchor="n9" w:tgtFrame="_blank" w:history="1">
        <w:r w:rsidRPr="00766F97">
          <w:rPr>
            <w:rFonts w:ascii="Times New Roman" w:eastAsia="Times New Roman" w:hAnsi="Times New Roman" w:cs="Times New Roman"/>
            <w:i/>
            <w:iCs/>
            <w:sz w:val="24"/>
            <w:szCs w:val="24"/>
            <w:lang w:val="uk-UA"/>
          </w:rPr>
          <w:t>№ 750 від 01.04.2020</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25"/>
      <w:bookmarkEnd w:id="29"/>
      <w:r w:rsidRPr="00766F97">
        <w:rPr>
          <w:rFonts w:ascii="Times New Roman" w:eastAsia="Times New Roman" w:hAnsi="Times New Roman" w:cs="Times New Roman"/>
          <w:sz w:val="24"/>
          <w:szCs w:val="24"/>
          <w:lang w:val="uk-UA"/>
        </w:rPr>
        <w:t>4. Ставка внеску на регулювання переглядається НКРЕКП щоквартально з урахуванням наповнення доходної частини затвердженого кошторису НКРЕКП не пізніше ніж в останній робочий день третього місяця звітного кварталу за формулою</w:t>
      </w:r>
    </w:p>
    <w:p w:rsidR="00766F97" w:rsidRPr="00766F97" w:rsidRDefault="00766F97" w:rsidP="00766F97">
      <w:pPr>
        <w:shd w:val="clear" w:color="auto" w:fill="FFFFFF"/>
        <w:spacing w:after="0" w:line="240" w:lineRule="auto"/>
        <w:jc w:val="center"/>
        <w:rPr>
          <w:rFonts w:ascii="Times New Roman" w:eastAsia="Times New Roman" w:hAnsi="Times New Roman" w:cs="Times New Roman"/>
          <w:sz w:val="24"/>
          <w:szCs w:val="24"/>
          <w:lang w:val="uk-UA"/>
        </w:rPr>
      </w:pPr>
      <w:bookmarkStart w:id="30" w:name="n26"/>
      <w:bookmarkEnd w:id="30"/>
      <w:proofErr w:type="spellStart"/>
      <w:r w:rsidRPr="00766F97">
        <w:rPr>
          <w:rFonts w:ascii="Times New Roman" w:eastAsia="Times New Roman" w:hAnsi="Times New Roman" w:cs="Times New Roman"/>
          <w:sz w:val="24"/>
          <w:szCs w:val="24"/>
          <w:lang w:val="uk-UA"/>
        </w:rPr>
        <w:t>Vkv</w:t>
      </w:r>
      <w:proofErr w:type="spellEnd"/>
      <w:r w:rsidRPr="00766F97">
        <w:rPr>
          <w:rFonts w:ascii="Times New Roman" w:eastAsia="Times New Roman" w:hAnsi="Times New Roman" w:cs="Times New Roman"/>
          <w:sz w:val="24"/>
          <w:szCs w:val="24"/>
          <w:lang w:val="uk-UA"/>
        </w:rPr>
        <w:t xml:space="preserve"> = </w:t>
      </w:r>
      <w:proofErr w:type="spellStart"/>
      <w:r w:rsidRPr="00766F97">
        <w:rPr>
          <w:rFonts w:ascii="Times New Roman" w:eastAsia="Times New Roman" w:hAnsi="Times New Roman" w:cs="Times New Roman"/>
          <w:sz w:val="24"/>
          <w:szCs w:val="24"/>
          <w:lang w:val="uk-UA"/>
        </w:rPr>
        <w:t>Pkv</w:t>
      </w:r>
      <w:proofErr w:type="spellEnd"/>
      <w:r w:rsidRPr="00766F97">
        <w:rPr>
          <w:rFonts w:ascii="Times New Roman" w:eastAsia="Times New Roman" w:hAnsi="Times New Roman" w:cs="Times New Roman"/>
          <w:sz w:val="24"/>
          <w:szCs w:val="24"/>
          <w:lang w:val="uk-UA"/>
        </w:rPr>
        <w:t>/</w:t>
      </w:r>
      <w:proofErr w:type="spellStart"/>
      <w:r w:rsidRPr="00766F97">
        <w:rPr>
          <w:rFonts w:ascii="Times New Roman" w:eastAsia="Times New Roman" w:hAnsi="Times New Roman" w:cs="Times New Roman"/>
          <w:sz w:val="24"/>
          <w:szCs w:val="24"/>
          <w:lang w:val="uk-UA"/>
        </w:rPr>
        <w:t>Dkv</w:t>
      </w:r>
      <w:proofErr w:type="spellEnd"/>
      <w:r w:rsidRPr="00766F97">
        <w:rPr>
          <w:rFonts w:ascii="Times New Roman" w:eastAsia="Times New Roman" w:hAnsi="Times New Roman" w:cs="Times New Roman"/>
          <w:sz w:val="24"/>
          <w:szCs w:val="24"/>
          <w:lang w:val="uk-UA"/>
        </w:rPr>
        <w:t>*100 %, (2)</w:t>
      </w:r>
    </w:p>
    <w:tbl>
      <w:tblPr>
        <w:tblW w:w="5000" w:type="pct"/>
        <w:tblCellMar>
          <w:left w:w="0" w:type="dxa"/>
          <w:right w:w="0" w:type="dxa"/>
        </w:tblCellMar>
        <w:tblLook w:val="04A0" w:firstRow="1" w:lastRow="0" w:firstColumn="1" w:lastColumn="0" w:noHBand="0" w:noVBand="1"/>
      </w:tblPr>
      <w:tblGrid>
        <w:gridCol w:w="425"/>
        <w:gridCol w:w="725"/>
        <w:gridCol w:w="187"/>
        <w:gridCol w:w="8346"/>
      </w:tblGrid>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31" w:name="n27"/>
            <w:bookmarkEnd w:id="31"/>
            <w:r w:rsidRPr="00766F97">
              <w:rPr>
                <w:rFonts w:ascii="Times New Roman" w:eastAsia="Times New Roman" w:hAnsi="Times New Roman" w:cs="Times New Roman"/>
                <w:sz w:val="24"/>
                <w:szCs w:val="24"/>
                <w:lang w:val="uk-UA"/>
              </w:rPr>
              <w:t>де</w:t>
            </w:r>
          </w:p>
        </w:tc>
        <w:tc>
          <w:tcPr>
            <w:tcW w:w="88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Vkv</w:t>
            </w:r>
            <w:proofErr w:type="spellEnd"/>
          </w:p>
        </w:tc>
        <w:tc>
          <w:tcPr>
            <w:tcW w:w="24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ставка внеску на регулювання, яка не може перевищувати 0,15 відсотка чистого доходу платника внеску на регулювання від провадження діяльності, що регулюється НКРЕКП;</w:t>
            </w:r>
          </w:p>
        </w:tc>
      </w:tr>
      <w:tr w:rsidR="00766F97" w:rsidRPr="00766F97" w:rsidTr="00766F97">
        <w:tc>
          <w:tcPr>
            <w:tcW w:w="13560" w:type="dxa"/>
            <w:gridSpan w:val="4"/>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ind w:firstLine="450"/>
              <w:jc w:val="both"/>
              <w:rPr>
                <w:rFonts w:ascii="Times New Roman" w:eastAsia="Times New Roman" w:hAnsi="Times New Roman" w:cs="Times New Roman"/>
                <w:sz w:val="24"/>
                <w:szCs w:val="24"/>
                <w:lang w:val="uk-UA"/>
              </w:rPr>
            </w:pPr>
            <w:r w:rsidRPr="00766F97">
              <w:rPr>
                <w:rFonts w:ascii="Times New Roman" w:eastAsia="Times New Roman" w:hAnsi="Times New Roman" w:cs="Times New Roman"/>
                <w:i/>
                <w:iCs/>
                <w:sz w:val="24"/>
                <w:szCs w:val="24"/>
                <w:lang w:val="uk-UA"/>
              </w:rPr>
              <w:t>{Абзац третій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 w:anchor="n10" w:tgtFrame="_blank" w:history="1">
              <w:r w:rsidRPr="00766F97">
                <w:rPr>
                  <w:rFonts w:ascii="Times New Roman" w:eastAsia="Times New Roman" w:hAnsi="Times New Roman" w:cs="Times New Roman"/>
                  <w:i/>
                  <w:iCs/>
                  <w:sz w:val="24"/>
                  <w:szCs w:val="24"/>
                  <w:lang w:val="uk-UA"/>
                </w:rPr>
                <w:t>№ 750 від 01.04.2020</w:t>
              </w:r>
            </w:hyperlink>
            <w:r w:rsidRPr="00766F97">
              <w:rPr>
                <w:rFonts w:ascii="Times New Roman" w:eastAsia="Times New Roman" w:hAnsi="Times New Roman" w:cs="Times New Roman"/>
                <w:i/>
                <w:iCs/>
                <w:sz w:val="24"/>
                <w:szCs w:val="24"/>
                <w:lang w:val="uk-UA"/>
              </w:rPr>
              <w:t>}</w:t>
            </w:r>
          </w:p>
        </w:tc>
      </w:tr>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88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Рkv</w:t>
            </w:r>
            <w:proofErr w:type="spellEnd"/>
          </w:p>
        </w:tc>
        <w:tc>
          <w:tcPr>
            <w:tcW w:w="24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b/>
                <w:bCs/>
                <w:sz w:val="24"/>
                <w:szCs w:val="24"/>
                <w:vertAlign w:val="superscript"/>
                <w:lang w:val="uk-UA"/>
              </w:rPr>
              <w:t>-1</w:t>
            </w:r>
            <w:r w:rsidRPr="00766F97">
              <w:rPr>
                <w:rFonts w:ascii="Times New Roman" w:eastAsia="Times New Roman" w:hAnsi="Times New Roman" w:cs="Times New Roman"/>
                <w:sz w:val="24"/>
                <w:szCs w:val="24"/>
                <w:lang w:val="uk-UA"/>
              </w:rPr>
              <w:t>/</w:t>
            </w:r>
            <w:r w:rsidRPr="00766F97">
              <w:rPr>
                <w:rFonts w:ascii="Times New Roman" w:eastAsia="Times New Roman" w:hAnsi="Times New Roman" w:cs="Times New Roman"/>
                <w:b/>
                <w:bCs/>
                <w:sz w:val="24"/>
                <w:szCs w:val="24"/>
                <w:vertAlign w:val="subscript"/>
                <w:lang w:val="uk-UA"/>
              </w:rPr>
              <w:t>4</w:t>
            </w:r>
            <w:r w:rsidRPr="00766F97">
              <w:rPr>
                <w:rFonts w:ascii="Times New Roman" w:eastAsia="Times New Roman" w:hAnsi="Times New Roman" w:cs="Times New Roman"/>
                <w:sz w:val="24"/>
                <w:szCs w:val="24"/>
                <w:lang w:val="uk-UA"/>
              </w:rPr>
              <w:t> планового обсягу потреби у фінансуванні НКРЕКП на бюджетний рік відповідно до затвердженого кошторису НКРЕКП;</w:t>
            </w:r>
          </w:p>
        </w:tc>
      </w:tr>
      <w:tr w:rsidR="00766F97" w:rsidRPr="00766F97" w:rsidTr="00766F97">
        <w:tc>
          <w:tcPr>
            <w:tcW w:w="52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885"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Dkv</w:t>
            </w:r>
            <w:proofErr w:type="spellEnd"/>
          </w:p>
        </w:tc>
        <w:tc>
          <w:tcPr>
            <w:tcW w:w="24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910" w:type="dxa"/>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сума чистого доходу (база нарахування) платників внеску на регулювання від провадження діяльності, що регулюється НКРЕКП, за попередній квартал.</w:t>
            </w:r>
          </w:p>
        </w:tc>
      </w:tr>
    </w:tbl>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28"/>
      <w:bookmarkEnd w:id="32"/>
      <w:r w:rsidRPr="00766F97">
        <w:rPr>
          <w:rFonts w:ascii="Times New Roman" w:eastAsia="Times New Roman" w:hAnsi="Times New Roman" w:cs="Times New Roman"/>
          <w:sz w:val="24"/>
          <w:szCs w:val="24"/>
          <w:lang w:val="uk-UA"/>
        </w:rPr>
        <w:t>Ставка внеску на регулювання оформляється щокварталу постановою НКРЕКП.</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 w:name="n29"/>
      <w:bookmarkEnd w:id="33"/>
      <w:r w:rsidRPr="00766F97">
        <w:rPr>
          <w:rFonts w:ascii="Times New Roman" w:eastAsia="Times New Roman" w:hAnsi="Times New Roman" w:cs="Times New Roman"/>
          <w:sz w:val="24"/>
          <w:szCs w:val="24"/>
          <w:lang w:val="uk-UA"/>
        </w:rPr>
        <w:t>5. Сума внеску на регулювання визначається платником внеску щоквартально за формулою</w:t>
      </w:r>
    </w:p>
    <w:p w:rsidR="00766F97" w:rsidRPr="00766F97" w:rsidRDefault="00766F97" w:rsidP="00766F97">
      <w:pPr>
        <w:shd w:val="clear" w:color="auto" w:fill="FFFFFF"/>
        <w:spacing w:after="0" w:line="240" w:lineRule="auto"/>
        <w:jc w:val="center"/>
        <w:rPr>
          <w:rFonts w:ascii="Times New Roman" w:eastAsia="Times New Roman" w:hAnsi="Times New Roman" w:cs="Times New Roman"/>
          <w:sz w:val="24"/>
          <w:szCs w:val="24"/>
          <w:lang w:val="uk-UA"/>
        </w:rPr>
      </w:pPr>
      <w:bookmarkStart w:id="34" w:name="n30"/>
      <w:bookmarkEnd w:id="34"/>
      <w:proofErr w:type="spellStart"/>
      <w:r w:rsidRPr="00766F97">
        <w:rPr>
          <w:rFonts w:ascii="Times New Roman" w:eastAsia="Times New Roman" w:hAnsi="Times New Roman" w:cs="Times New Roman"/>
          <w:sz w:val="24"/>
          <w:szCs w:val="24"/>
          <w:lang w:val="uk-UA"/>
        </w:rPr>
        <w:t>Rkv</w:t>
      </w:r>
      <w:proofErr w:type="spellEnd"/>
      <w:r w:rsidRPr="00766F97">
        <w:rPr>
          <w:rFonts w:ascii="Times New Roman" w:eastAsia="Times New Roman" w:hAnsi="Times New Roman" w:cs="Times New Roman"/>
          <w:sz w:val="24"/>
          <w:szCs w:val="24"/>
          <w:lang w:val="uk-UA"/>
        </w:rPr>
        <w:t xml:space="preserve"> = </w:t>
      </w:r>
      <w:proofErr w:type="spellStart"/>
      <w:r w:rsidRPr="00766F97">
        <w:rPr>
          <w:rFonts w:ascii="Times New Roman" w:eastAsia="Times New Roman" w:hAnsi="Times New Roman" w:cs="Times New Roman"/>
          <w:sz w:val="24"/>
          <w:szCs w:val="24"/>
          <w:lang w:val="uk-UA"/>
        </w:rPr>
        <w:t>Dkv</w:t>
      </w:r>
      <w:proofErr w:type="spellEnd"/>
      <w:r w:rsidRPr="00766F97">
        <w:rPr>
          <w:rFonts w:ascii="Times New Roman" w:eastAsia="Times New Roman" w:hAnsi="Times New Roman" w:cs="Times New Roman"/>
          <w:sz w:val="24"/>
          <w:szCs w:val="24"/>
          <w:lang w:val="uk-UA"/>
        </w:rPr>
        <w:t xml:space="preserve">* </w:t>
      </w:r>
      <w:proofErr w:type="spellStart"/>
      <w:r w:rsidRPr="00766F97">
        <w:rPr>
          <w:rFonts w:ascii="Times New Roman" w:eastAsia="Times New Roman" w:hAnsi="Times New Roman" w:cs="Times New Roman"/>
          <w:sz w:val="24"/>
          <w:szCs w:val="24"/>
          <w:lang w:val="uk-UA"/>
        </w:rPr>
        <w:t>Vkv</w:t>
      </w:r>
      <w:proofErr w:type="spellEnd"/>
      <w:r w:rsidRPr="00766F97">
        <w:rPr>
          <w:rFonts w:ascii="Times New Roman" w:eastAsia="Times New Roman" w:hAnsi="Times New Roman" w:cs="Times New Roman"/>
          <w:sz w:val="24"/>
          <w:szCs w:val="24"/>
          <w:lang w:val="uk-UA"/>
        </w:rPr>
        <w:t>/100 %,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3"/>
        <w:gridCol w:w="671"/>
        <w:gridCol w:w="212"/>
        <w:gridCol w:w="8423"/>
      </w:tblGrid>
      <w:tr w:rsidR="00766F97" w:rsidRPr="00766F97" w:rsidTr="00766F97">
        <w:tc>
          <w:tcPr>
            <w:tcW w:w="43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35" w:name="n31"/>
            <w:bookmarkEnd w:id="35"/>
            <w:r w:rsidRPr="00766F97">
              <w:rPr>
                <w:rFonts w:ascii="Times New Roman" w:eastAsia="Times New Roman" w:hAnsi="Times New Roman" w:cs="Times New Roman"/>
                <w:sz w:val="24"/>
                <w:szCs w:val="24"/>
                <w:lang w:val="uk-UA"/>
              </w:rPr>
              <w:t>де</w:t>
            </w:r>
          </w:p>
        </w:tc>
        <w:tc>
          <w:tcPr>
            <w:tcW w:w="76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Rkv</w:t>
            </w:r>
            <w:proofErr w:type="spellEnd"/>
          </w:p>
        </w:tc>
        <w:tc>
          <w:tcPr>
            <w:tcW w:w="255" w:type="dxa"/>
            <w:tcBorders>
              <w:top w:val="nil"/>
              <w:left w:val="nil"/>
              <w:bottom w:val="nil"/>
              <w:right w:val="nil"/>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340"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сума внеску на регулювання;</w:t>
            </w:r>
          </w:p>
        </w:tc>
      </w:tr>
      <w:tr w:rsidR="00766F97" w:rsidRPr="00766F97" w:rsidTr="00766F97">
        <w:tc>
          <w:tcPr>
            <w:tcW w:w="43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76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Dkv</w:t>
            </w:r>
            <w:proofErr w:type="spellEnd"/>
          </w:p>
        </w:tc>
        <w:tc>
          <w:tcPr>
            <w:tcW w:w="255" w:type="dxa"/>
            <w:tcBorders>
              <w:top w:val="nil"/>
              <w:left w:val="nil"/>
              <w:bottom w:val="nil"/>
              <w:right w:val="nil"/>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340"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сума чистого доходу платника внеску від провадження діяльності, що регулюється НКРЕКП, за звітний квартал;</w:t>
            </w:r>
          </w:p>
        </w:tc>
      </w:tr>
      <w:tr w:rsidR="00766F97" w:rsidRPr="00766F97" w:rsidTr="00766F97">
        <w:tc>
          <w:tcPr>
            <w:tcW w:w="43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
        </w:tc>
        <w:tc>
          <w:tcPr>
            <w:tcW w:w="765"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proofErr w:type="spellStart"/>
            <w:r w:rsidRPr="00766F97">
              <w:rPr>
                <w:rFonts w:ascii="Times New Roman" w:eastAsia="Times New Roman" w:hAnsi="Times New Roman" w:cs="Times New Roman"/>
                <w:sz w:val="24"/>
                <w:szCs w:val="24"/>
                <w:lang w:val="uk-UA"/>
              </w:rPr>
              <w:t>Vkv</w:t>
            </w:r>
            <w:proofErr w:type="spellEnd"/>
          </w:p>
        </w:tc>
        <w:tc>
          <w:tcPr>
            <w:tcW w:w="255" w:type="dxa"/>
            <w:tcBorders>
              <w:top w:val="nil"/>
              <w:left w:val="nil"/>
              <w:bottom w:val="nil"/>
              <w:right w:val="nil"/>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w:t>
            </w:r>
          </w:p>
        </w:tc>
        <w:tc>
          <w:tcPr>
            <w:tcW w:w="11340" w:type="dxa"/>
            <w:tcBorders>
              <w:top w:val="nil"/>
              <w:left w:val="nil"/>
              <w:bottom w:val="nil"/>
              <w:right w:val="nil"/>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ставка внеску на регулювання, визначена постановою НКРЕКП.</w:t>
            </w:r>
          </w:p>
        </w:tc>
      </w:tr>
    </w:tbl>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32"/>
      <w:bookmarkEnd w:id="36"/>
      <w:r w:rsidRPr="00766F97">
        <w:rPr>
          <w:rFonts w:ascii="Times New Roman" w:eastAsia="Times New Roman" w:hAnsi="Times New Roman" w:cs="Times New Roman"/>
          <w:sz w:val="24"/>
          <w:szCs w:val="24"/>
          <w:lang w:val="uk-UA"/>
        </w:rPr>
        <w:t>Базою нарахування суми внеску на регулювання є чистий дохід платника внеску на регулювання від провадження діяльності, що регулюється НКРЕКП, за звітний квартал.</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33"/>
      <w:bookmarkEnd w:id="37"/>
      <w:r w:rsidRPr="00766F97">
        <w:rPr>
          <w:rFonts w:ascii="Times New Roman" w:eastAsia="Times New Roman" w:hAnsi="Times New Roman" w:cs="Times New Roman"/>
          <w:sz w:val="24"/>
          <w:szCs w:val="24"/>
          <w:lang w:val="uk-UA"/>
        </w:rPr>
        <w:t>6. Для визначення суми чистого доходу платників внеску за попередній рік та попередній квартал структурними підрозділами НКРЕКП до управління з фінансово-економічних питань, бухгалтерського обліку та звітності до 15 березня поточного року та 01 числа другого місяця звітного кварталу відповідно надається: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 w:name="n34"/>
      <w:bookmarkEnd w:id="38"/>
      <w:r w:rsidRPr="00766F97">
        <w:rPr>
          <w:rFonts w:ascii="Times New Roman" w:eastAsia="Times New Roman" w:hAnsi="Times New Roman" w:cs="Times New Roman"/>
          <w:sz w:val="24"/>
          <w:szCs w:val="24"/>
          <w:lang w:val="uk-UA"/>
        </w:rPr>
        <w:t>1) управлінням ліцензування - актуалізований реєстр суб'єктів господарювання, які провадять діяльність у сферах енергетики та комунальних послуг;</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35"/>
      <w:bookmarkEnd w:id="39"/>
      <w:r w:rsidRPr="00766F97">
        <w:rPr>
          <w:rFonts w:ascii="Times New Roman" w:eastAsia="Times New Roman" w:hAnsi="Times New Roman" w:cs="Times New Roman"/>
          <w:sz w:val="24"/>
          <w:szCs w:val="24"/>
          <w:lang w:val="uk-UA"/>
        </w:rPr>
        <w:t>2) структурними підрозділами відповідальними за опрацювання статистичної звітності та звітності НКРЕКП - звітні дані про обсяг чистого доходу суб’єктів господарювання у розрізі видів ліцензованої діяльності, що підлягають державному регулюванню НКРЕКП за попередній рік та/або квартал за формою згідно з </w:t>
      </w:r>
      <w:hyperlink r:id="rId15" w:anchor="n44" w:history="1">
        <w:r w:rsidRPr="00766F97">
          <w:rPr>
            <w:rFonts w:ascii="Times New Roman" w:eastAsia="Times New Roman" w:hAnsi="Times New Roman" w:cs="Times New Roman"/>
            <w:sz w:val="24"/>
            <w:szCs w:val="24"/>
            <w:lang w:val="uk-UA"/>
          </w:rPr>
          <w:t>додатком 1</w:t>
        </w:r>
      </w:hyperlink>
      <w:r w:rsidRPr="00766F97">
        <w:rPr>
          <w:rFonts w:ascii="Times New Roman" w:eastAsia="Times New Roman" w:hAnsi="Times New Roman" w:cs="Times New Roman"/>
          <w:sz w:val="24"/>
          <w:szCs w:val="24"/>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36"/>
      <w:bookmarkEnd w:id="40"/>
      <w:r w:rsidRPr="00766F97">
        <w:rPr>
          <w:rFonts w:ascii="Times New Roman" w:eastAsia="Times New Roman" w:hAnsi="Times New Roman" w:cs="Times New Roman"/>
          <w:sz w:val="24"/>
          <w:szCs w:val="24"/>
          <w:lang w:val="uk-UA"/>
        </w:rPr>
        <w:t>7. Внески на регулювання сплачуються щоквартально суб’єктами господарювання до спеціального фонду державного бюджету протягом перших 30 днів поточного кварталу, наступного за звітним. Сплачені понад необхідний розмір внески на регулювання не підлягають поверненню і враховуються при сплаті внеску на регулювання в наступних періодах.</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 w:name="n37"/>
      <w:bookmarkEnd w:id="41"/>
      <w:r w:rsidRPr="00766F97">
        <w:rPr>
          <w:rFonts w:ascii="Times New Roman" w:eastAsia="Times New Roman" w:hAnsi="Times New Roman" w:cs="Times New Roman"/>
          <w:sz w:val="24"/>
          <w:szCs w:val="24"/>
          <w:lang w:val="uk-UA"/>
        </w:rPr>
        <w:t>Платники внеску подають до структурних підрозділів НКРЕКП на територіях звіт про сплату внеску на регулювання не пізніше другого робочого дня після встановленого строку сплати, за формою згідно з </w:t>
      </w:r>
      <w:hyperlink r:id="rId16" w:anchor="n46" w:history="1">
        <w:r w:rsidRPr="00766F97">
          <w:rPr>
            <w:rFonts w:ascii="Times New Roman" w:eastAsia="Times New Roman" w:hAnsi="Times New Roman" w:cs="Times New Roman"/>
            <w:sz w:val="24"/>
            <w:szCs w:val="24"/>
            <w:lang w:val="uk-UA"/>
          </w:rPr>
          <w:t>додатком 2</w:t>
        </w:r>
      </w:hyperlink>
      <w:r w:rsidRPr="00766F97">
        <w:rPr>
          <w:rFonts w:ascii="Times New Roman" w:eastAsia="Times New Roman" w:hAnsi="Times New Roman" w:cs="Times New Roman"/>
          <w:sz w:val="24"/>
          <w:szCs w:val="24"/>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38"/>
      <w:bookmarkEnd w:id="42"/>
      <w:r w:rsidRPr="00766F97">
        <w:rPr>
          <w:rFonts w:ascii="Times New Roman" w:eastAsia="Times New Roman" w:hAnsi="Times New Roman" w:cs="Times New Roman"/>
          <w:sz w:val="24"/>
          <w:szCs w:val="24"/>
          <w:lang w:val="uk-UA"/>
        </w:rPr>
        <w:t>8. Структурні підрозділи НКРЕКП на територіях перевіряють достовірність сплати внеску відповідно до виписок Державної казначейської служби і забезпечують зведення поданої звітності. Структурні підрозділи НКРЕКП на територіях надсилають зведений звіт про сплату внеску на регулювання до центрального апарату НКРЕКП не пізніше 01 числа третього місяця поточного кварталу, за формою згідно з </w:t>
      </w:r>
      <w:hyperlink r:id="rId17" w:anchor="n62" w:history="1">
        <w:r w:rsidRPr="00766F97">
          <w:rPr>
            <w:rFonts w:ascii="Times New Roman" w:eastAsia="Times New Roman" w:hAnsi="Times New Roman" w:cs="Times New Roman"/>
            <w:sz w:val="24"/>
            <w:szCs w:val="24"/>
            <w:lang w:val="uk-UA"/>
          </w:rPr>
          <w:t>додатком 3</w:t>
        </w:r>
      </w:hyperlink>
      <w:r w:rsidRPr="00766F97">
        <w:rPr>
          <w:rFonts w:ascii="Times New Roman" w:eastAsia="Times New Roman" w:hAnsi="Times New Roman" w:cs="Times New Roman"/>
          <w:sz w:val="24"/>
          <w:szCs w:val="24"/>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39"/>
      <w:bookmarkEnd w:id="43"/>
      <w:r w:rsidRPr="00766F97">
        <w:rPr>
          <w:rFonts w:ascii="Times New Roman" w:eastAsia="Times New Roman" w:hAnsi="Times New Roman" w:cs="Times New Roman"/>
          <w:sz w:val="24"/>
          <w:szCs w:val="24"/>
          <w:lang w:val="uk-UA"/>
        </w:rPr>
        <w:t>9. У разі несплати внеску на регулювання або сплати його не в повному обсязі протягом кварталу, наступного за звітним, НКРЕКП приймає рішення про накладення на такого платника внеску штрафу у розмірі 5 відсотків несплаченої суми внеску на регулювання, що не звільняє платника внеску на регулювання від сплати такого внеску. Рішення про накладення штрафу приймається НКРЕКП відповідно 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40"/>
      <w:bookmarkEnd w:id="44"/>
      <w:r w:rsidRPr="00766F97">
        <w:rPr>
          <w:rFonts w:ascii="Times New Roman" w:eastAsia="Times New Roman" w:hAnsi="Times New Roman" w:cs="Times New Roman"/>
          <w:sz w:val="24"/>
          <w:szCs w:val="24"/>
          <w:lang w:val="uk-UA"/>
        </w:rPr>
        <w:t>Штраф може бути накладено протягом шести місяців з дня виявлення правопорушення, але не пізніше одного року з дня його вчинення.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41"/>
      <w:bookmarkEnd w:id="45"/>
      <w:r w:rsidRPr="00766F97">
        <w:rPr>
          <w:rFonts w:ascii="Times New Roman" w:eastAsia="Times New Roman" w:hAnsi="Times New Roman" w:cs="Times New Roman"/>
          <w:sz w:val="24"/>
          <w:szCs w:val="24"/>
          <w:lang w:val="uk-UA"/>
        </w:rPr>
        <w:t>10. Контроль за надходженням внесків на регулювання здійснює управління з фінансово-економічних питань, бухгалтерського обліку та звітності відповідно до зведеної звітності, наданої структурними підрозділами НКРЕКП на територіях.</w:t>
      </w:r>
    </w:p>
    <w:tbl>
      <w:tblPr>
        <w:tblW w:w="5000" w:type="pct"/>
        <w:tblCellMar>
          <w:left w:w="0" w:type="dxa"/>
          <w:right w:w="0" w:type="dxa"/>
        </w:tblCellMar>
        <w:tblLook w:val="04A0" w:firstRow="1" w:lastRow="0" w:firstColumn="1" w:lastColumn="0" w:noHBand="0" w:noVBand="1"/>
      </w:tblPr>
      <w:tblGrid>
        <w:gridCol w:w="4067"/>
        <w:gridCol w:w="5616"/>
      </w:tblGrid>
      <w:tr w:rsidR="00766F97" w:rsidRPr="00766F97" w:rsidTr="00766F97">
        <w:tc>
          <w:tcPr>
            <w:tcW w:w="21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center"/>
              <w:rPr>
                <w:rFonts w:ascii="Times New Roman" w:eastAsia="Times New Roman" w:hAnsi="Times New Roman" w:cs="Times New Roman"/>
                <w:sz w:val="24"/>
                <w:szCs w:val="24"/>
                <w:lang w:val="uk-UA"/>
              </w:rPr>
            </w:pPr>
            <w:bookmarkStart w:id="46" w:name="n42"/>
            <w:bookmarkEnd w:id="46"/>
            <w:r w:rsidRPr="00766F97">
              <w:rPr>
                <w:rFonts w:ascii="Times New Roman" w:eastAsia="Times New Roman" w:hAnsi="Times New Roman" w:cs="Times New Roman"/>
                <w:b/>
                <w:bCs/>
                <w:sz w:val="24"/>
                <w:szCs w:val="24"/>
                <w:lang w:val="uk-UA"/>
              </w:rPr>
              <w:lastRenderedPageBreak/>
              <w:t>Начальник управління</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з фінансово-економічних</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питань бухгалтерського</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обліку та звітності</w:t>
            </w:r>
          </w:p>
        </w:tc>
        <w:tc>
          <w:tcPr>
            <w:tcW w:w="35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jc w:val="right"/>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 xml:space="preserve">І.О. </w:t>
            </w:r>
            <w:proofErr w:type="spellStart"/>
            <w:r w:rsidRPr="00766F97">
              <w:rPr>
                <w:rFonts w:ascii="Times New Roman" w:eastAsia="Times New Roman" w:hAnsi="Times New Roman" w:cs="Times New Roman"/>
                <w:b/>
                <w:bCs/>
                <w:sz w:val="24"/>
                <w:szCs w:val="24"/>
                <w:lang w:val="uk-UA"/>
              </w:rPr>
              <w:t>Ступаковська</w:t>
            </w:r>
            <w:proofErr w:type="spellEnd"/>
          </w:p>
        </w:tc>
      </w:tr>
    </w:tbl>
    <w:p w:rsidR="008F6282" w:rsidRPr="00766F97" w:rsidRDefault="008F6282" w:rsidP="00766F97">
      <w:pPr>
        <w:spacing w:after="0" w:line="240" w:lineRule="auto"/>
        <w:rPr>
          <w:rFonts w:ascii="Times New Roman" w:hAnsi="Times New Roman" w:cs="Times New Roman"/>
          <w:sz w:val="24"/>
          <w:szCs w:val="24"/>
          <w:lang w:val="uk-UA"/>
        </w:rPr>
      </w:pPr>
    </w:p>
    <w:p w:rsidR="00766F97" w:rsidRPr="00766F97" w:rsidRDefault="00766F97" w:rsidP="00766F97">
      <w:pPr>
        <w:tabs>
          <w:tab w:val="left" w:pos="6521"/>
        </w:tabs>
        <w:spacing w:after="0" w:line="240" w:lineRule="auto"/>
        <w:ind w:left="6663"/>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Додаток 1</w:t>
      </w:r>
    </w:p>
    <w:p w:rsidR="00766F97" w:rsidRPr="00766F97" w:rsidRDefault="00766F97" w:rsidP="00766F97">
      <w:pPr>
        <w:tabs>
          <w:tab w:val="left" w:pos="6521"/>
        </w:tabs>
        <w:spacing w:after="0" w:line="240" w:lineRule="auto"/>
        <w:ind w:left="6663"/>
        <w:rPr>
          <w:rFonts w:ascii="Times New Roman" w:hAnsi="Times New Roman" w:cs="Times New Roman"/>
          <w:bCs/>
          <w:sz w:val="24"/>
          <w:szCs w:val="24"/>
          <w:lang w:val="uk-UA" w:eastAsia="uk-UA"/>
        </w:rPr>
      </w:pPr>
      <w:r w:rsidRPr="00766F97">
        <w:rPr>
          <w:rFonts w:ascii="Times New Roman" w:hAnsi="Times New Roman" w:cs="Times New Roman"/>
          <w:bCs/>
          <w:sz w:val="24"/>
          <w:szCs w:val="24"/>
          <w:lang w:val="uk-UA" w:eastAsia="uk-UA"/>
        </w:rPr>
        <w:t xml:space="preserve">до Порядку розрахунку </w:t>
      </w:r>
      <w:r w:rsidRPr="00766F97">
        <w:rPr>
          <w:rFonts w:ascii="Times New Roman" w:hAnsi="Times New Roman" w:cs="Times New Roman"/>
          <w:bCs/>
          <w:sz w:val="24"/>
          <w:szCs w:val="24"/>
          <w:lang w:val="uk-UA" w:eastAsia="uk-UA"/>
        </w:rPr>
        <w:br/>
        <w:t xml:space="preserve">та встановлення ставки </w:t>
      </w:r>
      <w:r w:rsidRPr="00766F97">
        <w:rPr>
          <w:rFonts w:ascii="Times New Roman" w:hAnsi="Times New Roman" w:cs="Times New Roman"/>
          <w:bCs/>
          <w:sz w:val="24"/>
          <w:szCs w:val="24"/>
          <w:lang w:val="uk-UA" w:eastAsia="uk-UA"/>
        </w:rPr>
        <w:br/>
        <w:t>внесків на регулювання</w:t>
      </w:r>
    </w:p>
    <w:p w:rsidR="00766F97" w:rsidRPr="00766F97" w:rsidRDefault="00766F97" w:rsidP="00766F97">
      <w:pPr>
        <w:tabs>
          <w:tab w:val="left" w:pos="2410"/>
        </w:tabs>
        <w:spacing w:after="0" w:line="240" w:lineRule="auto"/>
        <w:jc w:val="right"/>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 xml:space="preserve"> </w:t>
      </w:r>
    </w:p>
    <w:p w:rsidR="00766F97" w:rsidRPr="00766F97" w:rsidRDefault="00766F97" w:rsidP="00766F97">
      <w:pPr>
        <w:tabs>
          <w:tab w:val="left" w:pos="2410"/>
        </w:tabs>
        <w:spacing w:after="0" w:line="240" w:lineRule="auto"/>
        <w:jc w:val="right"/>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right"/>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Звітні дані</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про обсяг чистого доходу</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 xml:space="preserve"> суб’єктів господарювання у розрізі</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видів ліцензованої  діяльності, що підлягають</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державному регулюванню НКРЕКП</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за ______ рік/квартал ______ року</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(необхідне підкреслити)</w:t>
      </w:r>
      <w:r w:rsidRPr="00766F97">
        <w:rPr>
          <w:rFonts w:ascii="Times New Roman" w:hAnsi="Times New Roman" w:cs="Times New Roman"/>
          <w:sz w:val="24"/>
          <w:szCs w:val="24"/>
          <w:lang w:val="uk-UA" w:eastAsia="uk-UA"/>
        </w:rPr>
        <w:br/>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сформовано на підставі форми звітності  № ________________</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t xml:space="preserve">                (назва)</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right"/>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1677"/>
        <w:gridCol w:w="5395"/>
        <w:gridCol w:w="1642"/>
      </w:tblGrid>
      <w:tr w:rsidR="00766F97" w:rsidRPr="00766F97" w:rsidTr="00755397">
        <w:tc>
          <w:tcPr>
            <w:tcW w:w="964" w:type="dxa"/>
          </w:tcPr>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Код</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області</w:t>
            </w:r>
          </w:p>
        </w:tc>
        <w:tc>
          <w:tcPr>
            <w:tcW w:w="1696" w:type="dxa"/>
          </w:tcPr>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 xml:space="preserve">Код </w:t>
            </w:r>
          </w:p>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ЄДРПОУ</w:t>
            </w:r>
          </w:p>
        </w:tc>
        <w:tc>
          <w:tcPr>
            <w:tcW w:w="5528" w:type="dxa"/>
          </w:tcPr>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 xml:space="preserve">Повна назва суб’єкта господарювання </w:t>
            </w:r>
          </w:p>
        </w:tc>
        <w:tc>
          <w:tcPr>
            <w:tcW w:w="1666" w:type="dxa"/>
          </w:tcPr>
          <w:p w:rsidR="00766F97" w:rsidRPr="00766F97" w:rsidRDefault="00766F97" w:rsidP="00766F97">
            <w:pPr>
              <w:tabs>
                <w:tab w:val="left" w:pos="2410"/>
              </w:tabs>
              <w:spacing w:after="0" w:line="240" w:lineRule="auto"/>
              <w:jc w:val="center"/>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Обсяг чистого доходу</w:t>
            </w:r>
          </w:p>
        </w:tc>
      </w:tr>
      <w:tr w:rsidR="00766F97" w:rsidRPr="00766F97" w:rsidTr="00755397">
        <w:tc>
          <w:tcPr>
            <w:tcW w:w="964"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9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5528"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6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r>
      <w:tr w:rsidR="00766F97" w:rsidRPr="00766F97" w:rsidTr="00755397">
        <w:tc>
          <w:tcPr>
            <w:tcW w:w="964"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9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5528"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6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r>
      <w:tr w:rsidR="00766F97" w:rsidRPr="00766F97" w:rsidTr="00755397">
        <w:tc>
          <w:tcPr>
            <w:tcW w:w="964"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9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5528"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6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r>
      <w:tr w:rsidR="00766F97" w:rsidRPr="00766F97" w:rsidTr="00755397">
        <w:tc>
          <w:tcPr>
            <w:tcW w:w="964"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9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5528"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c>
          <w:tcPr>
            <w:tcW w:w="1666" w:type="dxa"/>
          </w:tcPr>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tc>
      </w:tr>
    </w:tbl>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Керівник самостійного</w:t>
      </w:r>
    </w:p>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структурного підрозділу               _______________                  ________________</w:t>
      </w:r>
    </w:p>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t xml:space="preserve">    (підпис)</w:t>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r>
      <w:r w:rsidRPr="00766F97">
        <w:rPr>
          <w:rFonts w:ascii="Times New Roman" w:hAnsi="Times New Roman" w:cs="Times New Roman"/>
          <w:sz w:val="24"/>
          <w:szCs w:val="24"/>
          <w:lang w:val="uk-UA" w:eastAsia="uk-UA"/>
        </w:rPr>
        <w:tab/>
        <w:t xml:space="preserve">        (ПІБ)</w:t>
      </w:r>
    </w:p>
    <w:p w:rsidR="00766F97" w:rsidRPr="00766F97" w:rsidRDefault="00766F97" w:rsidP="00766F97">
      <w:pPr>
        <w:tabs>
          <w:tab w:val="left" w:pos="2410"/>
        </w:tabs>
        <w:spacing w:after="0" w:line="240" w:lineRule="auto"/>
        <w:jc w:val="both"/>
        <w:rPr>
          <w:rFonts w:ascii="Times New Roman" w:hAnsi="Times New Roman" w:cs="Times New Roman"/>
          <w:sz w:val="24"/>
          <w:szCs w:val="24"/>
          <w:lang w:val="uk-UA" w:eastAsia="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p w:rsidR="00766F97" w:rsidRPr="00766F97" w:rsidRDefault="00766F97" w:rsidP="00766F97">
      <w:pPr>
        <w:spacing w:after="0" w:line="240" w:lineRule="auto"/>
        <w:rPr>
          <w:rFonts w:ascii="Times New Roman" w:hAnsi="Times New Roman" w:cs="Times New Roman"/>
          <w:sz w:val="24"/>
          <w:szCs w:val="24"/>
          <w:lang w:val="uk-UA"/>
        </w:rPr>
      </w:pPr>
    </w:p>
    <w:tbl>
      <w:tblPr>
        <w:tblW w:w="5000" w:type="pct"/>
        <w:tblCellMar>
          <w:left w:w="0" w:type="dxa"/>
          <w:right w:w="0" w:type="dxa"/>
        </w:tblCellMar>
        <w:tblLook w:val="04A0" w:firstRow="1" w:lastRow="0" w:firstColumn="1" w:lastColumn="0" w:noHBand="0" w:noVBand="1"/>
      </w:tblPr>
      <w:tblGrid>
        <w:gridCol w:w="9683"/>
      </w:tblGrid>
      <w:tr w:rsidR="00766F97" w:rsidRPr="00766F97" w:rsidTr="00766F97">
        <w:tc>
          <w:tcPr>
            <w:tcW w:w="20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Додаток 2</w:t>
            </w:r>
            <w:r w:rsidRPr="00766F97">
              <w:rPr>
                <w:rFonts w:ascii="Times New Roman" w:eastAsia="Times New Roman" w:hAnsi="Times New Roman" w:cs="Times New Roman"/>
                <w:sz w:val="24"/>
                <w:szCs w:val="24"/>
                <w:lang w:val="uk-UA"/>
              </w:rPr>
              <w:br/>
              <w:t>до Порядку розрахунку</w:t>
            </w:r>
            <w:bookmarkStart w:id="47" w:name="_GoBack"/>
            <w:bookmarkEnd w:id="47"/>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sz w:val="24"/>
                <w:szCs w:val="24"/>
                <w:lang w:val="uk-UA"/>
              </w:rPr>
              <w:lastRenderedPageBreak/>
              <w:t>та встановлення ставки внесків</w:t>
            </w:r>
            <w:r w:rsidRPr="00766F97">
              <w:rPr>
                <w:rFonts w:ascii="Times New Roman" w:eastAsia="Times New Roman" w:hAnsi="Times New Roman" w:cs="Times New Roman"/>
                <w:sz w:val="24"/>
                <w:szCs w:val="24"/>
                <w:lang w:val="uk-UA"/>
              </w:rPr>
              <w:br/>
              <w:t>на регулювання</w:t>
            </w:r>
          </w:p>
        </w:tc>
      </w:tr>
    </w:tbl>
    <w:bookmarkStart w:id="48" w:name="n46"/>
    <w:bookmarkEnd w:id="48"/>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lastRenderedPageBreak/>
        <w:fldChar w:fldCharType="begin"/>
      </w:r>
      <w:r w:rsidRPr="00766F97">
        <w:rPr>
          <w:rFonts w:ascii="Times New Roman" w:eastAsia="Times New Roman" w:hAnsi="Times New Roman" w:cs="Times New Roman"/>
          <w:sz w:val="24"/>
          <w:szCs w:val="24"/>
          <w:lang w:val="uk-UA"/>
        </w:rPr>
        <w:instrText xml:space="preserve"> HYPERLINK "https://zakon.rada.gov.ua/laws/file/text/80/f466240n90.xls" </w:instrText>
      </w:r>
      <w:r w:rsidRPr="00766F97">
        <w:rPr>
          <w:rFonts w:ascii="Times New Roman" w:eastAsia="Times New Roman" w:hAnsi="Times New Roman" w:cs="Times New Roman"/>
          <w:sz w:val="24"/>
          <w:szCs w:val="24"/>
          <w:lang w:val="uk-UA"/>
        </w:rPr>
        <w:fldChar w:fldCharType="separate"/>
      </w:r>
      <w:r w:rsidRPr="00766F97">
        <w:rPr>
          <w:rFonts w:ascii="Times New Roman" w:eastAsia="Times New Roman" w:hAnsi="Times New Roman" w:cs="Times New Roman"/>
          <w:b/>
          <w:bCs/>
          <w:sz w:val="24"/>
          <w:szCs w:val="24"/>
          <w:u w:val="single"/>
          <w:lang w:val="uk-UA"/>
        </w:rPr>
        <w:t>ЗВІТ</w:t>
      </w:r>
      <w:r w:rsidRPr="00766F97">
        <w:rPr>
          <w:rFonts w:ascii="Times New Roman" w:eastAsia="Times New Roman" w:hAnsi="Times New Roman" w:cs="Times New Roman"/>
          <w:sz w:val="24"/>
          <w:szCs w:val="24"/>
          <w:lang w:val="uk-UA"/>
        </w:rPr>
        <w:fldChar w:fldCharType="end"/>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про сплату внеску на регулювання</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Форма № 20-НКРЕКП (квартальна)</w:t>
      </w:r>
    </w:p>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9" w:name="n47"/>
      <w:bookmarkEnd w:id="49"/>
      <w:r w:rsidRPr="00766F97">
        <w:rPr>
          <w:rFonts w:ascii="Times New Roman" w:eastAsia="Times New Roman" w:hAnsi="Times New Roman" w:cs="Times New Roman"/>
          <w:b/>
          <w:bCs/>
          <w:sz w:val="24"/>
          <w:szCs w:val="24"/>
          <w:lang w:val="uk-UA"/>
        </w:rPr>
        <w:t>ПОЯСНЕННЯ</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щодо заповнення форми звітності </w:t>
      </w:r>
      <w:hyperlink r:id="rId18" w:anchor="n46" w:history="1">
        <w:r w:rsidRPr="00766F97">
          <w:rPr>
            <w:rFonts w:ascii="Times New Roman" w:eastAsia="Times New Roman" w:hAnsi="Times New Roman" w:cs="Times New Roman"/>
            <w:b/>
            <w:bCs/>
            <w:sz w:val="24"/>
            <w:szCs w:val="24"/>
            <w:u w:val="single"/>
            <w:lang w:val="uk-UA"/>
          </w:rPr>
          <w:t>№ 20-НКРЕКП (квартальна)</w:t>
        </w:r>
      </w:hyperlink>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«Звіт про сплату внеску на регулювання»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48"/>
      <w:bookmarkEnd w:id="50"/>
      <w:r w:rsidRPr="00766F97">
        <w:rPr>
          <w:rFonts w:ascii="Times New Roman" w:eastAsia="Times New Roman" w:hAnsi="Times New Roman" w:cs="Times New Roman"/>
          <w:sz w:val="24"/>
          <w:szCs w:val="24"/>
          <w:lang w:val="uk-UA"/>
        </w:rPr>
        <w:t>1. Звітним періодом є календарний квартал.</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 w:name="n49"/>
      <w:bookmarkEnd w:id="51"/>
      <w:r w:rsidRPr="00766F97">
        <w:rPr>
          <w:rFonts w:ascii="Times New Roman" w:eastAsia="Times New Roman" w:hAnsi="Times New Roman" w:cs="Times New Roman"/>
          <w:sz w:val="24"/>
          <w:szCs w:val="24"/>
          <w:lang w:val="uk-UA"/>
        </w:rPr>
        <w:t>2. Форму звітності № 20-НКРЕКП (квартальна) подають платники внеску щокварталу не пізніше другого робочого дня після встановленого строку сплати, в якому сплачується внесок на регулювання на паперових носіях та електронною поштою до структурного підрозділу НКРЕКП на території за місцезнаходженням платника внеску, та забезпечують достовірність інформації, наведеної у звіті.</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 w:name="n50"/>
      <w:bookmarkEnd w:id="52"/>
      <w:r w:rsidRPr="00766F97">
        <w:rPr>
          <w:rFonts w:ascii="Times New Roman" w:eastAsia="Times New Roman" w:hAnsi="Times New Roman" w:cs="Times New Roman"/>
          <w:sz w:val="24"/>
          <w:szCs w:val="24"/>
          <w:lang w:val="uk-UA"/>
        </w:rPr>
        <w:t>3. Форма звітності № 20-НКРЕКП (квартальна) підписується керівником та головним бухгалтером платника внеску та скріплюється печаткою. У звіті зазначаються прізвища та ініціали осіб, які підписали звіт, прізвище виконавця, номер телефону, факсу та адреса електронної пошти.</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51"/>
      <w:bookmarkEnd w:id="53"/>
      <w:r w:rsidRPr="00766F97">
        <w:rPr>
          <w:rFonts w:ascii="Times New Roman" w:eastAsia="Times New Roman" w:hAnsi="Times New Roman" w:cs="Times New Roman"/>
          <w:sz w:val="24"/>
          <w:szCs w:val="24"/>
          <w:lang w:val="uk-UA"/>
        </w:rPr>
        <w:t>4. Форма звітності № 20-НКРЕКП (квартальна) подається на паперових носіях та електронною поштою за адресами, що закріплені за відповідними структурними підрозділами НКРЕКП на території.</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 w:name="n52"/>
      <w:bookmarkEnd w:id="54"/>
      <w:r w:rsidRPr="00766F97">
        <w:rPr>
          <w:rFonts w:ascii="Times New Roman" w:eastAsia="Times New Roman" w:hAnsi="Times New Roman" w:cs="Times New Roman"/>
          <w:sz w:val="24"/>
          <w:szCs w:val="24"/>
          <w:lang w:val="uk-UA"/>
        </w:rPr>
        <w:t>5. Структурні підрозділи НКРЕКП на території у відповідному регіоні проводять аналіз правильності заповнення наданих форм, вимагають усунення платниками внеску виявлених недоліків, здійснюють узагальнення даних і надають зведену інформацію до центрального апарату НКРЕКП.</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 w:name="n53"/>
      <w:bookmarkEnd w:id="55"/>
      <w:r w:rsidRPr="00766F97">
        <w:rPr>
          <w:rFonts w:ascii="Times New Roman" w:eastAsia="Times New Roman" w:hAnsi="Times New Roman" w:cs="Times New Roman"/>
          <w:sz w:val="24"/>
          <w:szCs w:val="24"/>
          <w:lang w:val="uk-UA"/>
        </w:rPr>
        <w:t>6. У графі 1 «Чистий дохід за звітний квартал» відображається чистий дохід у розрізі видів діяльності (рядок 1-5).</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 w:name="n54"/>
      <w:bookmarkEnd w:id="56"/>
      <w:r w:rsidRPr="00766F97">
        <w:rPr>
          <w:rFonts w:ascii="Times New Roman" w:eastAsia="Times New Roman" w:hAnsi="Times New Roman" w:cs="Times New Roman"/>
          <w:sz w:val="24"/>
          <w:szCs w:val="24"/>
          <w:lang w:val="uk-UA"/>
        </w:rPr>
        <w:t>7. У графі 2 «Ставка внеску» відображається ставка внеску, затверджена постановою НКРЕКП, на поточний квартал.</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 w:name="n55"/>
      <w:bookmarkEnd w:id="57"/>
      <w:r w:rsidRPr="00766F97">
        <w:rPr>
          <w:rFonts w:ascii="Times New Roman" w:eastAsia="Times New Roman" w:hAnsi="Times New Roman" w:cs="Times New Roman"/>
          <w:sz w:val="24"/>
          <w:szCs w:val="24"/>
          <w:lang w:val="uk-UA"/>
        </w:rPr>
        <w:t>8. У графі 3 «На початок періоду (борг (-) або переплата (+))» наводиться борг або переплата внеску на регулювання на початок періоду з відповідним знаком, що утворився(</w:t>
      </w:r>
      <w:proofErr w:type="spellStart"/>
      <w:r w:rsidRPr="00766F97">
        <w:rPr>
          <w:rFonts w:ascii="Times New Roman" w:eastAsia="Times New Roman" w:hAnsi="Times New Roman" w:cs="Times New Roman"/>
          <w:sz w:val="24"/>
          <w:szCs w:val="24"/>
          <w:lang w:val="uk-UA"/>
        </w:rPr>
        <w:t>лась</w:t>
      </w:r>
      <w:proofErr w:type="spellEnd"/>
      <w:r w:rsidRPr="00766F97">
        <w:rPr>
          <w:rFonts w:ascii="Times New Roman" w:eastAsia="Times New Roman" w:hAnsi="Times New Roman" w:cs="Times New Roman"/>
          <w:sz w:val="24"/>
          <w:szCs w:val="24"/>
          <w:lang w:val="uk-UA"/>
        </w:rPr>
        <w:t>) на кінець періоду (графа 8), у розрізі видів діяльності (рядок 1-5).</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 w:name="n56"/>
      <w:bookmarkEnd w:id="58"/>
      <w:r w:rsidRPr="00766F97">
        <w:rPr>
          <w:rFonts w:ascii="Times New Roman" w:eastAsia="Times New Roman" w:hAnsi="Times New Roman" w:cs="Times New Roman"/>
          <w:sz w:val="24"/>
          <w:szCs w:val="24"/>
          <w:lang w:val="uk-UA"/>
        </w:rPr>
        <w:t>9. У графі 4 «Нараховано» наводиться сума коштів, що нарахована та належить до сплати платником внеску у поточному кварталі відповідно до ставки внеску на регулювання, затвердженої постановою НКРЕКП, у розрізі видів діяльності (рядок 1-5).</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 w:name="n57"/>
      <w:bookmarkEnd w:id="59"/>
      <w:r w:rsidRPr="00766F97">
        <w:rPr>
          <w:rFonts w:ascii="Times New Roman" w:eastAsia="Times New Roman" w:hAnsi="Times New Roman" w:cs="Times New Roman"/>
          <w:sz w:val="24"/>
          <w:szCs w:val="24"/>
          <w:lang w:val="uk-UA"/>
        </w:rPr>
        <w:t>10. У графі 6 «Сплачено» наводиться сума коштів, яка сплачена платником внеску за поточний квартал відповідно до зазначених у графі 9 платіжних доручень про сплату внеску на регулювання, у розрізі видів діяльності (рядок 1-5).</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 w:name="n58"/>
      <w:bookmarkEnd w:id="60"/>
      <w:r w:rsidRPr="00766F97">
        <w:rPr>
          <w:rFonts w:ascii="Times New Roman" w:eastAsia="Times New Roman" w:hAnsi="Times New Roman" w:cs="Times New Roman"/>
          <w:sz w:val="24"/>
          <w:szCs w:val="24"/>
          <w:lang w:val="uk-UA"/>
        </w:rPr>
        <w:t>11. У графі 8 «На кінець періоду (борг (-) або переплата (+))» наводиться різниця між сумою коштів, що належить до сплати (графа 4), та сумою коштів, яка сплачена платником внеску (графа 6) з урахуванням боргу (-) або переплати (+) на початок періоду (графа 3), у розрізі видів діяльності (рядок 1-5). За умови заповнення графи 8 до звіту обов’язково додається обґрунтоване пояснення щодо причин виникнення заборгованості.</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1" w:name="n91"/>
      <w:bookmarkEnd w:id="61"/>
      <w:r w:rsidRPr="00766F97">
        <w:rPr>
          <w:rFonts w:ascii="Times New Roman" w:eastAsia="Times New Roman" w:hAnsi="Times New Roman" w:cs="Times New Roman"/>
          <w:i/>
          <w:iCs/>
          <w:sz w:val="24"/>
          <w:szCs w:val="24"/>
          <w:shd w:val="clear" w:color="auto" w:fill="FFFFFF"/>
          <w:lang w:val="uk-UA"/>
        </w:rPr>
        <w:t>{Пункт 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15" w:tgtFrame="_blank" w:history="1">
        <w:r w:rsidRPr="00766F97">
          <w:rPr>
            <w:rFonts w:ascii="Times New Roman" w:eastAsia="Times New Roman" w:hAnsi="Times New Roman" w:cs="Times New Roman"/>
            <w:i/>
            <w:iCs/>
            <w:sz w:val="24"/>
            <w:szCs w:val="24"/>
            <w:u w:val="single"/>
            <w:lang w:val="uk-UA"/>
          </w:rPr>
          <w:t>№ 750 від 01.04.2020</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 w:name="n59"/>
      <w:bookmarkEnd w:id="62"/>
      <w:r w:rsidRPr="00766F97">
        <w:rPr>
          <w:rFonts w:ascii="Times New Roman" w:eastAsia="Times New Roman" w:hAnsi="Times New Roman" w:cs="Times New Roman"/>
          <w:sz w:val="24"/>
          <w:szCs w:val="24"/>
          <w:lang w:val="uk-UA"/>
        </w:rPr>
        <w:t>12. У графі 9 «Дата та номер платіжних доручень» зазначаються дата та номер платіжних доручень, згідно з якими платником внеску сплачені кошти, наведені у графі 4.</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 w:name="n60"/>
      <w:bookmarkEnd w:id="63"/>
      <w:r w:rsidRPr="00766F97">
        <w:rPr>
          <w:rFonts w:ascii="Times New Roman" w:eastAsia="Times New Roman" w:hAnsi="Times New Roman" w:cs="Times New Roman"/>
          <w:sz w:val="24"/>
          <w:szCs w:val="24"/>
          <w:lang w:val="uk-UA"/>
        </w:rPr>
        <w:t>13. Дані у графах 5, 7 наводяться накопичувальним підсумком з початку календарного року у розрізі видів діяльності (рядок 1-5).</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 w:name="n93"/>
      <w:bookmarkEnd w:id="64"/>
      <w:r w:rsidRPr="00766F97">
        <w:rPr>
          <w:rFonts w:ascii="Times New Roman" w:eastAsia="Times New Roman" w:hAnsi="Times New Roman" w:cs="Times New Roman"/>
          <w:sz w:val="24"/>
          <w:szCs w:val="24"/>
          <w:lang w:val="uk-UA"/>
        </w:rPr>
        <w:lastRenderedPageBreak/>
        <w:t>Усі дані Звіту про сплату внеску на регулювання подаються в тисячах гривень, але не більше п’яти знаків після коми. У разі нездійснення ліцензованої діяльності у звітному періоді ліцензіат надає форму звітності № 20-НКРЕКП (квартальна) «Звіт про сплату внеску на регулювання» за встановленою формою з нульовим значенням.</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5" w:name="n92"/>
      <w:bookmarkEnd w:id="65"/>
      <w:r w:rsidRPr="00766F97">
        <w:rPr>
          <w:rFonts w:ascii="Times New Roman" w:eastAsia="Times New Roman" w:hAnsi="Times New Roman" w:cs="Times New Roman"/>
          <w:i/>
          <w:iCs/>
          <w:sz w:val="24"/>
          <w:szCs w:val="24"/>
          <w:shd w:val="clear" w:color="auto" w:fill="FFFFFF"/>
          <w:lang w:val="uk-UA"/>
        </w:rPr>
        <w:t>{Пункт 13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0" w:anchor="n16" w:tgtFrame="_blank" w:history="1">
        <w:r w:rsidRPr="00766F97">
          <w:rPr>
            <w:rFonts w:ascii="Times New Roman" w:eastAsia="Times New Roman" w:hAnsi="Times New Roman" w:cs="Times New Roman"/>
            <w:i/>
            <w:iCs/>
            <w:sz w:val="24"/>
            <w:szCs w:val="24"/>
            <w:u w:val="single"/>
            <w:lang w:val="uk-UA"/>
          </w:rPr>
          <w:t>№ 750 від 01.04.2020</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6" w:name="n96"/>
      <w:bookmarkEnd w:id="66"/>
      <w:r w:rsidRPr="00766F97">
        <w:rPr>
          <w:rFonts w:ascii="Times New Roman" w:eastAsia="Times New Roman" w:hAnsi="Times New Roman" w:cs="Times New Roman"/>
          <w:i/>
          <w:iCs/>
          <w:sz w:val="24"/>
          <w:szCs w:val="24"/>
          <w:shd w:val="clear" w:color="auto" w:fill="FFFFFF"/>
          <w:lang w:val="uk-UA"/>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1" w:tgtFrame="_blank" w:history="1">
        <w:r w:rsidRPr="00766F97">
          <w:rPr>
            <w:rFonts w:ascii="Times New Roman" w:eastAsia="Times New Roman" w:hAnsi="Times New Roman" w:cs="Times New Roman"/>
            <w:i/>
            <w:iCs/>
            <w:sz w:val="24"/>
            <w:szCs w:val="24"/>
            <w:u w:val="single"/>
            <w:lang w:val="uk-UA"/>
          </w:rPr>
          <w:t>№ 750 від 01.04.2020</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67" w:name="n79"/>
      <w:bookmarkEnd w:id="67"/>
      <w:r w:rsidRPr="00766F97">
        <w:rPr>
          <w:rFonts w:ascii="Times New Roman" w:eastAsia="Times New Roman" w:hAnsi="Times New Roman" w:cs="Times New Roman"/>
          <w:sz w:val="24"/>
          <w:szCs w:val="24"/>
          <w:lang w:val="uk-UA"/>
        </w:rPr>
        <w:pict>
          <v:rect id="_x0000_i1035" style="width:0;height:0" o:hrstd="t" o:hrnoshade="t" o:hr="t" fillcolor="black" stroked="f"/>
        </w:pict>
      </w:r>
    </w:p>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5126"/>
        <w:gridCol w:w="4557"/>
      </w:tblGrid>
      <w:tr w:rsidR="00766F97" w:rsidRPr="00766F97" w:rsidTr="00766F97">
        <w:tc>
          <w:tcPr>
            <w:tcW w:w="225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bookmarkStart w:id="68" w:name="n61"/>
            <w:bookmarkEnd w:id="68"/>
          </w:p>
        </w:tc>
        <w:tc>
          <w:tcPr>
            <w:tcW w:w="2000" w:type="pct"/>
            <w:tcBorders>
              <w:top w:val="single" w:sz="2" w:space="0" w:color="auto"/>
              <w:left w:val="single" w:sz="2" w:space="0" w:color="auto"/>
              <w:bottom w:val="single" w:sz="2" w:space="0" w:color="auto"/>
              <w:right w:val="single" w:sz="2" w:space="0" w:color="auto"/>
            </w:tcBorders>
            <w:hideMark/>
          </w:tcPr>
          <w:p w:rsidR="00766F97" w:rsidRPr="00766F97" w:rsidRDefault="00766F97" w:rsidP="00766F97">
            <w:pPr>
              <w:spacing w:after="0" w:line="240" w:lineRule="auto"/>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t>Додаток 3</w:t>
            </w:r>
            <w:r w:rsidRPr="00766F97">
              <w:rPr>
                <w:rFonts w:ascii="Times New Roman" w:eastAsia="Times New Roman" w:hAnsi="Times New Roman" w:cs="Times New Roman"/>
                <w:sz w:val="24"/>
                <w:szCs w:val="24"/>
                <w:lang w:val="uk-UA"/>
              </w:rPr>
              <w:br/>
              <w:t>до Порядку розрахунку</w:t>
            </w:r>
            <w:r w:rsidRPr="00766F97">
              <w:rPr>
                <w:rFonts w:ascii="Times New Roman" w:eastAsia="Times New Roman" w:hAnsi="Times New Roman" w:cs="Times New Roman"/>
                <w:sz w:val="24"/>
                <w:szCs w:val="24"/>
                <w:lang w:val="uk-UA"/>
              </w:rPr>
              <w:br/>
              <w:t>та встановлення ставки внесків</w:t>
            </w:r>
            <w:r w:rsidRPr="00766F97">
              <w:rPr>
                <w:rFonts w:ascii="Times New Roman" w:eastAsia="Times New Roman" w:hAnsi="Times New Roman" w:cs="Times New Roman"/>
                <w:sz w:val="24"/>
                <w:szCs w:val="24"/>
                <w:lang w:val="uk-UA"/>
              </w:rPr>
              <w:br/>
              <w:t>на регулювання</w:t>
            </w:r>
          </w:p>
        </w:tc>
      </w:tr>
    </w:tbl>
    <w:bookmarkStart w:id="69" w:name="n62"/>
    <w:bookmarkEnd w:id="69"/>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r w:rsidRPr="00766F97">
        <w:rPr>
          <w:rFonts w:ascii="Times New Roman" w:eastAsia="Times New Roman" w:hAnsi="Times New Roman" w:cs="Times New Roman"/>
          <w:sz w:val="24"/>
          <w:szCs w:val="24"/>
          <w:lang w:val="uk-UA"/>
        </w:rPr>
        <w:fldChar w:fldCharType="begin"/>
      </w:r>
      <w:r w:rsidRPr="00766F97">
        <w:rPr>
          <w:rFonts w:ascii="Times New Roman" w:eastAsia="Times New Roman" w:hAnsi="Times New Roman" w:cs="Times New Roman"/>
          <w:sz w:val="24"/>
          <w:szCs w:val="24"/>
          <w:lang w:val="uk-UA"/>
        </w:rPr>
        <w:instrText xml:space="preserve"> HYPERLINK "https://zakon.rada.gov.ua/laws/file/text/99/f466240n102.xls" </w:instrText>
      </w:r>
      <w:r w:rsidRPr="00766F97">
        <w:rPr>
          <w:rFonts w:ascii="Times New Roman" w:eastAsia="Times New Roman" w:hAnsi="Times New Roman" w:cs="Times New Roman"/>
          <w:sz w:val="24"/>
          <w:szCs w:val="24"/>
          <w:lang w:val="uk-UA"/>
        </w:rPr>
        <w:fldChar w:fldCharType="separate"/>
      </w:r>
      <w:r w:rsidRPr="00766F97">
        <w:rPr>
          <w:rFonts w:ascii="Times New Roman" w:eastAsia="Times New Roman" w:hAnsi="Times New Roman" w:cs="Times New Roman"/>
          <w:b/>
          <w:bCs/>
          <w:sz w:val="24"/>
          <w:szCs w:val="24"/>
          <w:u w:val="single"/>
          <w:lang w:val="uk-UA"/>
        </w:rPr>
        <w:t>ЗВЕДЕНИЙ ЗВІТ</w:t>
      </w:r>
      <w:r w:rsidRPr="00766F97">
        <w:rPr>
          <w:rFonts w:ascii="Times New Roman" w:eastAsia="Times New Roman" w:hAnsi="Times New Roman" w:cs="Times New Roman"/>
          <w:sz w:val="24"/>
          <w:szCs w:val="24"/>
          <w:lang w:val="uk-UA"/>
        </w:rPr>
        <w:fldChar w:fldCharType="end"/>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про сплату внеску на регулювання</w:t>
      </w:r>
    </w:p>
    <w:p w:rsidR="00766F97" w:rsidRPr="00766F97" w:rsidRDefault="00766F97" w:rsidP="00766F97">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0" w:name="n63"/>
      <w:bookmarkEnd w:id="70"/>
      <w:r w:rsidRPr="00766F97">
        <w:rPr>
          <w:rFonts w:ascii="Times New Roman" w:eastAsia="Times New Roman" w:hAnsi="Times New Roman" w:cs="Times New Roman"/>
          <w:b/>
          <w:bCs/>
          <w:sz w:val="24"/>
          <w:szCs w:val="24"/>
          <w:lang w:val="uk-UA"/>
        </w:rPr>
        <w:t>ПОЯСНЕННЯ</w:t>
      </w:r>
      <w:r w:rsidRPr="00766F97">
        <w:rPr>
          <w:rFonts w:ascii="Times New Roman" w:eastAsia="Times New Roman" w:hAnsi="Times New Roman" w:cs="Times New Roman"/>
          <w:sz w:val="24"/>
          <w:szCs w:val="24"/>
          <w:lang w:val="uk-UA"/>
        </w:rPr>
        <w:br/>
      </w:r>
      <w:r w:rsidRPr="00766F97">
        <w:rPr>
          <w:rFonts w:ascii="Times New Roman" w:eastAsia="Times New Roman" w:hAnsi="Times New Roman" w:cs="Times New Roman"/>
          <w:b/>
          <w:bCs/>
          <w:sz w:val="24"/>
          <w:szCs w:val="24"/>
          <w:lang w:val="uk-UA"/>
        </w:rPr>
        <w:t>щодо заповнення </w:t>
      </w:r>
      <w:hyperlink r:id="rId22" w:anchor="n62" w:history="1">
        <w:r w:rsidRPr="00766F97">
          <w:rPr>
            <w:rFonts w:ascii="Times New Roman" w:eastAsia="Times New Roman" w:hAnsi="Times New Roman" w:cs="Times New Roman"/>
            <w:b/>
            <w:bCs/>
            <w:sz w:val="24"/>
            <w:szCs w:val="24"/>
            <w:u w:val="single"/>
            <w:lang w:val="uk-UA"/>
          </w:rPr>
          <w:t>Зведеного звіту про сплату внеску на регулювання</w:t>
        </w:r>
      </w:hyperlink>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 w:name="n64"/>
      <w:bookmarkEnd w:id="71"/>
      <w:r w:rsidRPr="00766F97">
        <w:rPr>
          <w:rFonts w:ascii="Times New Roman" w:eastAsia="Times New Roman" w:hAnsi="Times New Roman" w:cs="Times New Roman"/>
          <w:sz w:val="24"/>
          <w:szCs w:val="24"/>
          <w:lang w:val="uk-UA"/>
        </w:rPr>
        <w:t>1. Зведений звіт складається структурними підрозділами НКРЕКП на територіях на підставі поданих платниками внеску на регулювання звітів за формою № 20-НКРЕКП (квартальна) «Звіт про сплату внеску на регулювання».</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 w:name="n65"/>
      <w:bookmarkEnd w:id="72"/>
      <w:r w:rsidRPr="00766F97">
        <w:rPr>
          <w:rFonts w:ascii="Times New Roman" w:eastAsia="Times New Roman" w:hAnsi="Times New Roman" w:cs="Times New Roman"/>
          <w:sz w:val="24"/>
          <w:szCs w:val="24"/>
          <w:lang w:val="uk-UA"/>
        </w:rPr>
        <w:t>2. Структурні підрозділи НКРЕКП на території (у відповідній області) проводять аналіз правильності заповнення наданих платниками внеску на регулювання форм, вимагають усунення виявлених недоліків, здійснюють узагальнення даних.</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 w:name="n66"/>
      <w:bookmarkEnd w:id="73"/>
      <w:r w:rsidRPr="00766F97">
        <w:rPr>
          <w:rFonts w:ascii="Times New Roman" w:eastAsia="Times New Roman" w:hAnsi="Times New Roman" w:cs="Times New Roman"/>
          <w:sz w:val="24"/>
          <w:szCs w:val="24"/>
          <w:lang w:val="uk-UA"/>
        </w:rPr>
        <w:t>3. Зведений звіт подають структурні підрозділи НКРЕКП на території щоквартально до 01 числа третього місяця поточного кварталу на паперових носіях та електронною поштою до управління з фінансово-економічних питань, бухгалтерського обліку та звітності НКРЕКП.</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 w:name="n67"/>
      <w:bookmarkEnd w:id="74"/>
      <w:r w:rsidRPr="00766F97">
        <w:rPr>
          <w:rFonts w:ascii="Times New Roman" w:eastAsia="Times New Roman" w:hAnsi="Times New Roman" w:cs="Times New Roman"/>
          <w:sz w:val="24"/>
          <w:szCs w:val="24"/>
          <w:lang w:val="uk-UA"/>
        </w:rPr>
        <w:t>4. У графі 1 «Чистий дохід за звітний квартал» відображається чистий дохід у розрізі видів діяльності платника внеску (рядок 1-5) разом за всіма видами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 w:name="n68"/>
      <w:bookmarkEnd w:id="75"/>
      <w:r w:rsidRPr="00766F97">
        <w:rPr>
          <w:rFonts w:ascii="Times New Roman" w:eastAsia="Times New Roman" w:hAnsi="Times New Roman" w:cs="Times New Roman"/>
          <w:sz w:val="24"/>
          <w:szCs w:val="24"/>
          <w:lang w:val="uk-UA"/>
        </w:rPr>
        <w:t>5. У графі 2 «Ставка внеску» відображається ставка внеску, затверджена постановою НКРЕКП, на поточний квартал.</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 w:name="n69"/>
      <w:bookmarkEnd w:id="76"/>
      <w:r w:rsidRPr="00766F97">
        <w:rPr>
          <w:rFonts w:ascii="Times New Roman" w:eastAsia="Times New Roman" w:hAnsi="Times New Roman" w:cs="Times New Roman"/>
          <w:sz w:val="24"/>
          <w:szCs w:val="24"/>
          <w:lang w:val="uk-UA"/>
        </w:rPr>
        <w:t>6. У графі 3 «Усього: на початок періоду (борг (-) або переплата (+))» наводиться борг або переплата внеску на регулювання на початок періоду з відповідним знаком, що утворився(</w:t>
      </w:r>
      <w:proofErr w:type="spellStart"/>
      <w:r w:rsidRPr="00766F97">
        <w:rPr>
          <w:rFonts w:ascii="Times New Roman" w:eastAsia="Times New Roman" w:hAnsi="Times New Roman" w:cs="Times New Roman"/>
          <w:sz w:val="24"/>
          <w:szCs w:val="24"/>
          <w:lang w:val="uk-UA"/>
        </w:rPr>
        <w:t>лась</w:t>
      </w:r>
      <w:proofErr w:type="spellEnd"/>
      <w:r w:rsidRPr="00766F97">
        <w:rPr>
          <w:rFonts w:ascii="Times New Roman" w:eastAsia="Times New Roman" w:hAnsi="Times New Roman" w:cs="Times New Roman"/>
          <w:sz w:val="24"/>
          <w:szCs w:val="24"/>
          <w:lang w:val="uk-UA"/>
        </w:rPr>
        <w:t>) на кінець попереднього періоду (графа 8), у розрізі видів діяльності (рядки 1-5) разом за всіма видами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 w:name="n70"/>
      <w:bookmarkEnd w:id="77"/>
      <w:r w:rsidRPr="00766F97">
        <w:rPr>
          <w:rFonts w:ascii="Times New Roman" w:eastAsia="Times New Roman" w:hAnsi="Times New Roman" w:cs="Times New Roman"/>
          <w:sz w:val="24"/>
          <w:szCs w:val="24"/>
          <w:lang w:val="uk-UA"/>
        </w:rPr>
        <w:t>7. У графі 4 «Усього: нараховано» наводиться сума коштів, що нарахована та належить до сплати платниками внеску за поточний квартал відповідно до ставки внеску на регулювання, затвердженої постановою НКРЕКП, разом за всіма платниками внеску у розрізі видів діяльності (рядки 1-5) разом з усіх видів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 w:name="n71"/>
      <w:bookmarkEnd w:id="78"/>
      <w:r w:rsidRPr="00766F97">
        <w:rPr>
          <w:rFonts w:ascii="Times New Roman" w:eastAsia="Times New Roman" w:hAnsi="Times New Roman" w:cs="Times New Roman"/>
          <w:sz w:val="24"/>
          <w:szCs w:val="24"/>
          <w:lang w:val="uk-UA"/>
        </w:rPr>
        <w:t>8. У графі 6 «Усього: сплачено» наводиться сума коштів, які сплачені платниками внеску за поточний квартал відповідно до виписки органу Державної казначейської служби України, у розрізі видів діяльності (рядки 1-5) разом з усіх видів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 w:name="n72"/>
      <w:bookmarkEnd w:id="79"/>
      <w:r w:rsidRPr="00766F97">
        <w:rPr>
          <w:rFonts w:ascii="Times New Roman" w:eastAsia="Times New Roman" w:hAnsi="Times New Roman" w:cs="Times New Roman"/>
          <w:sz w:val="24"/>
          <w:szCs w:val="24"/>
          <w:lang w:val="uk-UA"/>
        </w:rPr>
        <w:t>9. У графі 8 «Усього: на кінець періоду борг (-) або переплата (+))» наводиться різниця між сумою коштів, що належать до сплати (графа 4 «Усього: нараховано»), та сумою коштів, які сплачені платниками внесків (графа 6 «Усього: сплачено») з урахуванням графи 3 «Усього: на початок періоду (борг (-) або переплата (+))», у розрізі видів діяльності (рядки 1-5) разом з усіх видів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 w:name="n73"/>
      <w:bookmarkEnd w:id="80"/>
      <w:r w:rsidRPr="00766F97">
        <w:rPr>
          <w:rFonts w:ascii="Times New Roman" w:eastAsia="Times New Roman" w:hAnsi="Times New Roman" w:cs="Times New Roman"/>
          <w:sz w:val="24"/>
          <w:szCs w:val="24"/>
          <w:lang w:val="uk-UA"/>
        </w:rPr>
        <w:lastRenderedPageBreak/>
        <w:t>10. У графі 9 «У тому числі: боржники (назва, ЄДРПО (</w:t>
      </w:r>
      <w:proofErr w:type="spellStart"/>
      <w:r w:rsidRPr="00766F97">
        <w:rPr>
          <w:rFonts w:ascii="Times New Roman" w:eastAsia="Times New Roman" w:hAnsi="Times New Roman" w:cs="Times New Roman"/>
          <w:sz w:val="24"/>
          <w:szCs w:val="24"/>
          <w:lang w:val="uk-UA"/>
        </w:rPr>
        <w:t>індифікаційний</w:t>
      </w:r>
      <w:proofErr w:type="spellEnd"/>
      <w:r w:rsidRPr="00766F97">
        <w:rPr>
          <w:rFonts w:ascii="Times New Roman" w:eastAsia="Times New Roman" w:hAnsi="Times New Roman" w:cs="Times New Roman"/>
          <w:sz w:val="24"/>
          <w:szCs w:val="24"/>
          <w:lang w:val="uk-UA"/>
        </w:rPr>
        <w:t xml:space="preserve"> код))» зазначається інформація окремо за кожним платником внеску, який має борг зі сплати внеску у розрізі видів діяльності (рядки 1-5) разом з усіх видів діяльності (рядок 6). До зведеного звіту надається копія індивідуального звіту боржника за формою № 20-НКРЕКП (квартальна), завірена керівником структурного підрозділу НКРЕКП на території, а також надається пояснення до звіту щодо причини виникнення боргу.</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 w:name="n74"/>
      <w:bookmarkEnd w:id="81"/>
      <w:r w:rsidRPr="00766F97">
        <w:rPr>
          <w:rFonts w:ascii="Times New Roman" w:eastAsia="Times New Roman" w:hAnsi="Times New Roman" w:cs="Times New Roman"/>
          <w:sz w:val="24"/>
          <w:szCs w:val="24"/>
          <w:lang w:val="uk-UA"/>
        </w:rPr>
        <w:t>11. Дані, зазначені у графах 5, 7 Зведеного звіту про сплату внеску на регулювання, наводяться накопичувальним підсумком з початку календарного року у розрізі видів діяльності (рядки 1-5) разом з усіх видів діяльності (рядок 6).</w:t>
      </w:r>
    </w:p>
    <w:p w:rsidR="00766F97" w:rsidRPr="00766F97" w:rsidRDefault="00766F97" w:rsidP="00766F97">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 w:name="n75"/>
      <w:bookmarkEnd w:id="82"/>
      <w:r w:rsidRPr="00766F97">
        <w:rPr>
          <w:rFonts w:ascii="Times New Roman" w:eastAsia="Times New Roman" w:hAnsi="Times New Roman" w:cs="Times New Roman"/>
          <w:sz w:val="24"/>
          <w:szCs w:val="24"/>
          <w:lang w:val="uk-UA"/>
        </w:rPr>
        <w:t>12. Форма підписується керівником структурного підрозділу НКРЕКП на території та безпосереднім виконавцем.</w:t>
      </w:r>
    </w:p>
    <w:p w:rsidR="00766F97" w:rsidRPr="00766F97" w:rsidRDefault="00766F97" w:rsidP="00766F97">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3" w:name="n97"/>
      <w:bookmarkEnd w:id="83"/>
      <w:r w:rsidRPr="00766F97">
        <w:rPr>
          <w:rFonts w:ascii="Times New Roman" w:eastAsia="Times New Roman" w:hAnsi="Times New Roman" w:cs="Times New Roman"/>
          <w:i/>
          <w:iCs/>
          <w:sz w:val="24"/>
          <w:szCs w:val="24"/>
          <w:shd w:val="clear" w:color="auto" w:fill="FFFFFF"/>
          <w:lang w:val="uk-UA"/>
        </w:rPr>
        <w:t>{Додаток 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3" w:anchor="n18" w:tgtFrame="_blank" w:history="1">
        <w:r w:rsidRPr="00766F97">
          <w:rPr>
            <w:rFonts w:ascii="Times New Roman" w:eastAsia="Times New Roman" w:hAnsi="Times New Roman" w:cs="Times New Roman"/>
            <w:i/>
            <w:iCs/>
            <w:sz w:val="24"/>
            <w:szCs w:val="24"/>
            <w:u w:val="single"/>
            <w:lang w:val="uk-UA"/>
          </w:rPr>
          <w:t>№ 750 від 01.04.2020</w:t>
        </w:r>
      </w:hyperlink>
      <w:r w:rsidRPr="00766F97">
        <w:rPr>
          <w:rFonts w:ascii="Times New Roman" w:eastAsia="Times New Roman" w:hAnsi="Times New Roman" w:cs="Times New Roman"/>
          <w:i/>
          <w:iCs/>
          <w:sz w:val="24"/>
          <w:szCs w:val="24"/>
          <w:shd w:val="clear" w:color="auto" w:fill="FFFFFF"/>
          <w:lang w:val="uk-UA"/>
        </w:rPr>
        <w:t>, </w:t>
      </w:r>
      <w:hyperlink r:id="rId24" w:anchor="n8" w:tgtFrame="_blank" w:history="1">
        <w:r w:rsidRPr="00766F97">
          <w:rPr>
            <w:rFonts w:ascii="Times New Roman" w:eastAsia="Times New Roman" w:hAnsi="Times New Roman" w:cs="Times New Roman"/>
            <w:i/>
            <w:iCs/>
            <w:sz w:val="24"/>
            <w:szCs w:val="24"/>
            <w:u w:val="single"/>
            <w:lang w:val="uk-UA"/>
          </w:rPr>
          <w:t>№ 685 від 05.07.2022</w:t>
        </w:r>
      </w:hyperlink>
      <w:r w:rsidRPr="00766F97">
        <w:rPr>
          <w:rFonts w:ascii="Times New Roman" w:eastAsia="Times New Roman" w:hAnsi="Times New Roman" w:cs="Times New Roman"/>
          <w:i/>
          <w:iCs/>
          <w:sz w:val="24"/>
          <w:szCs w:val="24"/>
          <w:shd w:val="clear" w:color="auto" w:fill="FFFFFF"/>
          <w:lang w:val="uk-UA"/>
        </w:rPr>
        <w:t>}</w:t>
      </w:r>
    </w:p>
    <w:p w:rsidR="00766F97" w:rsidRPr="00766F97" w:rsidRDefault="00766F97" w:rsidP="00766F97">
      <w:pPr>
        <w:spacing w:after="0" w:line="240" w:lineRule="auto"/>
        <w:rPr>
          <w:rFonts w:ascii="Times New Roman" w:hAnsi="Times New Roman" w:cs="Times New Roman"/>
          <w:sz w:val="24"/>
          <w:szCs w:val="24"/>
          <w:lang w:val="uk-UA"/>
        </w:rPr>
      </w:pPr>
    </w:p>
    <w:sectPr w:rsidR="00766F97" w:rsidRPr="00766F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C3"/>
    <w:rsid w:val="00766F97"/>
    <w:rsid w:val="008F6282"/>
    <w:rsid w:val="00F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636D"/>
  <w15:chartTrackingRefBased/>
  <w15:docId w15:val="{42F20782-BFAE-4B92-A7B0-D9F6AAF8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66F97"/>
  </w:style>
  <w:style w:type="character" w:customStyle="1" w:styleId="rvts23">
    <w:name w:val="rvts23"/>
    <w:basedOn w:val="a0"/>
    <w:rsid w:val="00766F97"/>
  </w:style>
  <w:style w:type="paragraph" w:customStyle="1" w:styleId="rvps7">
    <w:name w:val="rvps7"/>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66F97"/>
  </w:style>
  <w:style w:type="paragraph" w:customStyle="1" w:styleId="rvps6">
    <w:name w:val="rvps6"/>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66F97"/>
    <w:rPr>
      <w:color w:val="0000FF"/>
      <w:u w:val="single"/>
    </w:rPr>
  </w:style>
  <w:style w:type="paragraph" w:customStyle="1" w:styleId="rvps2">
    <w:name w:val="rvps2"/>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766F97"/>
  </w:style>
  <w:style w:type="character" w:customStyle="1" w:styleId="rvts44">
    <w:name w:val="rvts44"/>
    <w:basedOn w:val="a0"/>
    <w:rsid w:val="00766F97"/>
  </w:style>
  <w:style w:type="paragraph" w:customStyle="1" w:styleId="rvps15">
    <w:name w:val="rvps15"/>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66F97"/>
  </w:style>
  <w:style w:type="paragraph" w:customStyle="1" w:styleId="rvps12">
    <w:name w:val="rvps12"/>
    <w:basedOn w:val="a"/>
    <w:rsid w:val="0076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766F97"/>
  </w:style>
  <w:style w:type="character" w:customStyle="1" w:styleId="rvts40">
    <w:name w:val="rvts40"/>
    <w:basedOn w:val="a0"/>
    <w:rsid w:val="0076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2734">
      <w:bodyDiv w:val="1"/>
      <w:marLeft w:val="0"/>
      <w:marRight w:val="0"/>
      <w:marTop w:val="0"/>
      <w:marBottom w:val="0"/>
      <w:divBdr>
        <w:top w:val="none" w:sz="0" w:space="0" w:color="auto"/>
        <w:left w:val="none" w:sz="0" w:space="0" w:color="auto"/>
        <w:bottom w:val="none" w:sz="0" w:space="0" w:color="auto"/>
        <w:right w:val="none" w:sz="0" w:space="0" w:color="auto"/>
      </w:divBdr>
    </w:div>
    <w:div w:id="1451435373">
      <w:bodyDiv w:val="1"/>
      <w:marLeft w:val="0"/>
      <w:marRight w:val="0"/>
      <w:marTop w:val="0"/>
      <w:marBottom w:val="0"/>
      <w:divBdr>
        <w:top w:val="none" w:sz="0" w:space="0" w:color="auto"/>
        <w:left w:val="none" w:sz="0" w:space="0" w:color="auto"/>
        <w:bottom w:val="none" w:sz="0" w:space="0" w:color="auto"/>
        <w:right w:val="none" w:sz="0" w:space="0" w:color="auto"/>
      </w:divBdr>
      <w:divsChild>
        <w:div w:id="1879708059">
          <w:marLeft w:val="0"/>
          <w:marRight w:val="0"/>
          <w:marTop w:val="0"/>
          <w:marBottom w:val="150"/>
          <w:divBdr>
            <w:top w:val="none" w:sz="0" w:space="0" w:color="auto"/>
            <w:left w:val="none" w:sz="0" w:space="0" w:color="auto"/>
            <w:bottom w:val="none" w:sz="0" w:space="0" w:color="auto"/>
            <w:right w:val="none" w:sz="0" w:space="0" w:color="auto"/>
          </w:divBdr>
        </w:div>
        <w:div w:id="1413966067">
          <w:marLeft w:val="0"/>
          <w:marRight w:val="0"/>
          <w:marTop w:val="0"/>
          <w:marBottom w:val="150"/>
          <w:divBdr>
            <w:top w:val="none" w:sz="0" w:space="0" w:color="auto"/>
            <w:left w:val="none" w:sz="0" w:space="0" w:color="auto"/>
            <w:bottom w:val="none" w:sz="0" w:space="0" w:color="auto"/>
            <w:right w:val="none" w:sz="0" w:space="0" w:color="auto"/>
          </w:divBdr>
        </w:div>
      </w:divsChild>
    </w:div>
    <w:div w:id="1655909729">
      <w:bodyDiv w:val="1"/>
      <w:marLeft w:val="0"/>
      <w:marRight w:val="0"/>
      <w:marTop w:val="0"/>
      <w:marBottom w:val="0"/>
      <w:divBdr>
        <w:top w:val="none" w:sz="0" w:space="0" w:color="auto"/>
        <w:left w:val="none" w:sz="0" w:space="0" w:color="auto"/>
        <w:bottom w:val="none" w:sz="0" w:space="0" w:color="auto"/>
        <w:right w:val="none" w:sz="0" w:space="0" w:color="auto"/>
      </w:divBdr>
      <w:divsChild>
        <w:div w:id="1096679543">
          <w:marLeft w:val="0"/>
          <w:marRight w:val="0"/>
          <w:marTop w:val="150"/>
          <w:marBottom w:val="150"/>
          <w:divBdr>
            <w:top w:val="none" w:sz="0" w:space="0" w:color="auto"/>
            <w:left w:val="none" w:sz="0" w:space="0" w:color="auto"/>
            <w:bottom w:val="none" w:sz="0" w:space="0" w:color="auto"/>
            <w:right w:val="none" w:sz="0" w:space="0" w:color="auto"/>
          </w:divBdr>
        </w:div>
        <w:div w:id="1976594191">
          <w:marLeft w:val="0"/>
          <w:marRight w:val="0"/>
          <w:marTop w:val="0"/>
          <w:marBottom w:val="150"/>
          <w:divBdr>
            <w:top w:val="none" w:sz="0" w:space="0" w:color="auto"/>
            <w:left w:val="none" w:sz="0" w:space="0" w:color="auto"/>
            <w:bottom w:val="none" w:sz="0" w:space="0" w:color="auto"/>
            <w:right w:val="none" w:sz="0" w:space="0" w:color="auto"/>
          </w:divBdr>
        </w:div>
        <w:div w:id="450980822">
          <w:marLeft w:val="0"/>
          <w:marRight w:val="0"/>
          <w:marTop w:val="0"/>
          <w:marBottom w:val="150"/>
          <w:divBdr>
            <w:top w:val="none" w:sz="0" w:space="0" w:color="auto"/>
            <w:left w:val="none" w:sz="0" w:space="0" w:color="auto"/>
            <w:bottom w:val="none" w:sz="0" w:space="0" w:color="auto"/>
            <w:right w:val="none" w:sz="0" w:space="0" w:color="auto"/>
          </w:divBdr>
        </w:div>
        <w:div w:id="1978756320">
          <w:marLeft w:val="0"/>
          <w:marRight w:val="0"/>
          <w:marTop w:val="0"/>
          <w:marBottom w:val="150"/>
          <w:divBdr>
            <w:top w:val="none" w:sz="0" w:space="0" w:color="auto"/>
            <w:left w:val="none" w:sz="0" w:space="0" w:color="auto"/>
            <w:bottom w:val="none" w:sz="0" w:space="0" w:color="auto"/>
            <w:right w:val="none" w:sz="0" w:space="0" w:color="auto"/>
          </w:divBdr>
        </w:div>
        <w:div w:id="1171523468">
          <w:marLeft w:val="0"/>
          <w:marRight w:val="0"/>
          <w:marTop w:val="0"/>
          <w:marBottom w:val="150"/>
          <w:divBdr>
            <w:top w:val="none" w:sz="0" w:space="0" w:color="auto"/>
            <w:left w:val="none" w:sz="0" w:space="0" w:color="auto"/>
            <w:bottom w:val="none" w:sz="0" w:space="0" w:color="auto"/>
            <w:right w:val="none" w:sz="0" w:space="0" w:color="auto"/>
          </w:divBdr>
        </w:div>
        <w:div w:id="408845800">
          <w:marLeft w:val="0"/>
          <w:marRight w:val="0"/>
          <w:marTop w:val="0"/>
          <w:marBottom w:val="150"/>
          <w:divBdr>
            <w:top w:val="none" w:sz="0" w:space="0" w:color="auto"/>
            <w:left w:val="none" w:sz="0" w:space="0" w:color="auto"/>
            <w:bottom w:val="none" w:sz="0" w:space="0" w:color="auto"/>
            <w:right w:val="none" w:sz="0" w:space="0" w:color="auto"/>
          </w:divBdr>
        </w:div>
        <w:div w:id="650779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83-14" TargetMode="External"/><Relationship Id="rId13" Type="http://schemas.openxmlformats.org/officeDocument/2006/relationships/hyperlink" Target="https://zakon.rada.gov.ua/laws/show/v0750874-20" TargetMode="External"/><Relationship Id="rId18" Type="http://schemas.openxmlformats.org/officeDocument/2006/relationships/hyperlink" Target="https://zakon.rada.gov.ua/laws/show/v0491874-17/prin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v0750874-20" TargetMode="External"/><Relationship Id="rId7" Type="http://schemas.openxmlformats.org/officeDocument/2006/relationships/hyperlink" Target="https://zakon.rada.gov.ua/laws/show/1540-19" TargetMode="External"/><Relationship Id="rId12" Type="http://schemas.openxmlformats.org/officeDocument/2006/relationships/hyperlink" Target="https://zakon.rada.gov.ua/laws/show/v0685874-22" TargetMode="External"/><Relationship Id="rId17" Type="http://schemas.openxmlformats.org/officeDocument/2006/relationships/hyperlink" Target="https://zakon.rada.gov.ua/laws/show/v0491874-17/prin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v0491874-17/print" TargetMode="External"/><Relationship Id="rId20" Type="http://schemas.openxmlformats.org/officeDocument/2006/relationships/hyperlink" Target="https://zakon.rada.gov.ua/laws/show/v0750874-20" TargetMode="External"/><Relationship Id="rId1" Type="http://schemas.openxmlformats.org/officeDocument/2006/relationships/styles" Target="styles.xml"/><Relationship Id="rId6" Type="http://schemas.openxmlformats.org/officeDocument/2006/relationships/hyperlink" Target="https://zakon.rada.gov.ua/laws/show/v0685874-22" TargetMode="External"/><Relationship Id="rId11" Type="http://schemas.openxmlformats.org/officeDocument/2006/relationships/hyperlink" Target="https://zakon.rada.gov.ua/laws/show/v0750874-20" TargetMode="External"/><Relationship Id="rId24" Type="http://schemas.openxmlformats.org/officeDocument/2006/relationships/hyperlink" Target="https://zakon.rada.gov.ua/laws/show/v0685874-22" TargetMode="External"/><Relationship Id="rId5" Type="http://schemas.openxmlformats.org/officeDocument/2006/relationships/hyperlink" Target="https://zakon.rada.gov.ua/laws/show/v0750874-20" TargetMode="External"/><Relationship Id="rId15" Type="http://schemas.openxmlformats.org/officeDocument/2006/relationships/hyperlink" Target="https://zakon.rada.gov.ua/laws/show/v0491874-17/print" TargetMode="External"/><Relationship Id="rId23" Type="http://schemas.openxmlformats.org/officeDocument/2006/relationships/hyperlink" Target="https://zakon.rada.gov.ua/laws/show/v0750874-20" TargetMode="External"/><Relationship Id="rId10" Type="http://schemas.openxmlformats.org/officeDocument/2006/relationships/hyperlink" Target="https://zakon.rada.gov.ua/laws/show/v0685874-22" TargetMode="External"/><Relationship Id="rId19" Type="http://schemas.openxmlformats.org/officeDocument/2006/relationships/hyperlink" Target="https://zakon.rada.gov.ua/laws/show/v0750874-20" TargetMode="External"/><Relationship Id="rId4" Type="http://schemas.openxmlformats.org/officeDocument/2006/relationships/image" Target="media/image1.gif"/><Relationship Id="rId9" Type="http://schemas.openxmlformats.org/officeDocument/2006/relationships/hyperlink" Target="https://zakon.rada.gov.ua/laws/show/v0491874-17/print" TargetMode="External"/><Relationship Id="rId14" Type="http://schemas.openxmlformats.org/officeDocument/2006/relationships/hyperlink" Target="https://zakon.rada.gov.ua/laws/show/v0750874-20" TargetMode="External"/><Relationship Id="rId22" Type="http://schemas.openxmlformats.org/officeDocument/2006/relationships/hyperlink" Target="https://zakon.rada.gov.ua/laws/show/v0491874-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2022-11-22T09:16:00Z</dcterms:created>
  <dcterms:modified xsi:type="dcterms:W3CDTF">2022-11-22T09:19:00Z</dcterms:modified>
</cp:coreProperties>
</file>